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left"/>
        <w:rPr/>
      </w:pPr>
      <w:r>
        <w:rPr/>
      </w:r>
    </w:p>
    <w:p>
      <w:pPr>
        <w:pStyle w:val="Normal"/>
        <w:bidi w:val="0"/>
        <w:spacing w:lineRule="auto" w:line="240" w:before="0" w:after="0"/>
        <w:jc w:val="left"/>
        <w:rPr/>
      </w:pPr>
      <w:r>
        <w:rPr/>
      </w:r>
    </w:p>
    <w:p>
      <w:pPr>
        <w:pStyle w:val="Normal"/>
        <w:bidi w:val="0"/>
        <w:spacing w:lineRule="auto" w:line="240" w:before="0" w:after="0"/>
        <w:jc w:val="left"/>
        <w:rPr/>
      </w:pPr>
      <w:r>
        <w:rPr/>
      </w:r>
    </w:p>
    <w:p>
      <w:pPr>
        <w:pStyle w:val="Normal"/>
        <w:bidi w:val="0"/>
        <w:spacing w:lineRule="auto" w:line="240" w:before="0" w:after="100"/>
        <w:jc w:val="center"/>
        <w:rPr>
          <w:rFonts w:ascii="Arial" w:hAnsi="Arial" w:eastAsia="Arial" w:cs="Arial"/>
          <w:b/>
          <w:bCs/>
          <w:i w:val="false"/>
          <w:i w:val="false"/>
          <w:iCs w:val="false"/>
          <w:color w:val="1F3864"/>
          <w:sz w:val="44"/>
          <w:szCs w:val="44"/>
        </w:rPr>
      </w:pPr>
      <w:r>
        <w:rPr>
          <w:b/>
          <w:i w:val="0"/>
          <w:color w:val="1F3864"/>
          <w:sz w:val="44"/>
        </w:rPr>
        <w:t>SUPPLEMENTAL EXHIBITS A AND B</w:t>
      </w:r>
    </w:p>
    <w:p>
      <w:pPr>
        <w:pStyle w:val="Normal"/>
        <w:bidi w:val="0"/>
        <w:spacing w:lineRule="auto" w:line="240" w:before="0" w:after="80"/>
        <w:jc w:val="center"/>
        <w:rPr>
          <w:rFonts w:ascii="Arial" w:hAnsi="Arial" w:eastAsia="Arial" w:cs="Arial"/>
          <w:b w:val="false"/>
          <w:bCs w:val="false"/>
          <w:i w:val="false"/>
          <w:i w:val="false"/>
          <w:iCs w:val="false"/>
          <w:color w:val="595959"/>
          <w:sz w:val="22"/>
          <w:szCs w:val="22"/>
        </w:rPr>
      </w:pPr>
      <w:r>
        <w:rPr>
          <w:b w:val="0"/>
          <w:i w:val="0"/>
          <w:color w:val="595959"/>
          <w:sz w:val="22"/>
        </w:rPr>
        <w:t>To: 204 Truitt Avenue Evidence Summary and HUD OIG Complaint</w:t>
      </w:r>
    </w:p>
    <w:p>
      <w:pPr>
        <w:pStyle w:val="Normal"/>
        <w:pBdr>
          <w:bottom w:val="single" w:sz="16" w:space="4" w:color="1F3864"/>
        </w:pBdr>
        <w:bidi w:val="0"/>
        <w:spacing w:lineRule="auto" w:line="240" w:before="0" w:after="200"/>
        <w:jc w:val="left"/>
        <w:rPr/>
      </w:pPr>
      <w:r>
        <w:rPr/>
      </w:r>
    </w:p>
    <w:p>
      <w:pPr>
        <w:pStyle w:val="Normal"/>
        <w:bidi w:val="0"/>
        <w:spacing w:lineRule="auto" w:line="240" w:before="0" w:after="0"/>
        <w:jc w:val="left"/>
        <w:rPr/>
      </w:pPr>
      <w:r>
        <w:rPr/>
      </w:r>
    </w:p>
    <w:tbl>
      <w:tblPr>
        <w:tblW w:w="9360" w:type="dxa"/>
        <w:jc w:val="left"/>
        <w:tblInd w:w="-5" w:type="dxa"/>
        <w:tblLayout w:type="fixed"/>
        <w:tblCellMar>
          <w:top w:w="80" w:type="dxa"/>
          <w:left w:w="140" w:type="dxa"/>
          <w:bottom w:w="80" w:type="dxa"/>
          <w:right w:w="140" w:type="dxa"/>
        </w:tblCellMar>
      </w:tblPr>
      <w:tblGrid>
        <w:gridCol w:w="2880"/>
        <w:gridCol w:w="6480"/>
      </w:tblGrid>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Borrower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rFonts w:eastAsia="Arial" w:cs="Arial"/>
                <w:b w:val="false"/>
                <w:bCs w:val="false"/>
                <w:i w:val="false"/>
                <w:iCs w:val="false"/>
                <w:color w:val="1A1A1A"/>
                <w:sz w:val="18"/>
                <w:szCs w:val="18"/>
              </w:rPr>
              <w:t>Rouena M. Konkiel</w:t>
            </w:r>
          </w:p>
        </w:tc>
      </w:tr>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Loan Number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rFonts w:eastAsia="Arial" w:cs="Arial"/>
                <w:b w:val="false"/>
                <w:bCs w:val="false"/>
                <w:i w:val="false"/>
                <w:iCs w:val="false"/>
                <w:color w:val="1A1A1A"/>
                <w:sz w:val="18"/>
                <w:szCs w:val="18"/>
              </w:rPr>
              <w:t>4752202195126</w:t>
            </w:r>
          </w:p>
        </w:tc>
      </w:tr>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Property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rFonts w:eastAsia="Arial" w:cs="Arial"/>
                <w:b w:val="false"/>
                <w:bCs w:val="false"/>
                <w:i w:val="false"/>
                <w:iCs w:val="false"/>
                <w:color w:val="1A1A1A"/>
                <w:sz w:val="18"/>
                <w:szCs w:val="18"/>
              </w:rPr>
              <w:t>204 Truitt Ave, Milford, Delaware 19963</w:t>
            </w:r>
          </w:p>
        </w:tc>
      </w:tr>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Main Packet Exhibits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pPr>
            <w:r>
              <w:rPr>
                <w:rFonts w:eastAsia="Arial" w:cs="Arial"/>
                <w:b w:val="false"/>
                <w:bCs w:val="false"/>
                <w:i w:val="false"/>
                <w:iCs w:val="false"/>
                <w:color w:val="1A1A1A"/>
                <w:sz w:val="18"/>
                <w:szCs w:val="18"/>
              </w:rPr>
              <w:t>EX-01 through EX-2</w:t>
            </w:r>
            <w:r>
              <w:rPr>
                <w:color w:val="1A1A1A"/>
                <w:sz w:val="18"/>
                <w:szCs w:val="18"/>
              </w:rPr>
              <w:t>6</w:t>
            </w:r>
          </w:p>
        </w:tc>
      </w:tr>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This Document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rFonts w:eastAsia="Arial" w:cs="Arial"/>
                <w:b w:val="false"/>
                <w:bCs w:val="false"/>
                <w:i w:val="false"/>
                <w:iCs w:val="false"/>
                <w:color w:val="1A1A1A"/>
                <w:sz w:val="18"/>
                <w:szCs w:val="18"/>
              </w:rPr>
              <w:t>Supplemental EX-A and EX-B</w:t>
            </w:r>
          </w:p>
        </w:tc>
      </w:tr>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Submitted By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b w:val="0"/>
                <w:i w:val="0"/>
                <w:color w:val="1A1A1A"/>
                <w:sz w:val="18"/>
              </w:rPr>
              <w:t>Shannon L. Truitt - July 2026</w:t>
            </w:r>
          </w:p>
        </w:tc>
      </w:tr>
    </w:tbl>
    <w:p>
      <w:pPr>
        <w:pStyle w:val="Normal"/>
        <w:bidi w:val="0"/>
        <w:spacing w:lineRule="auto" w:line="240" w:before="0" w:after="0"/>
        <w:jc w:val="left"/>
        <w:rPr/>
      </w:pPr>
      <w:r>
        <w:rPr/>
      </w:r>
    </w:p>
    <w:p>
      <w:pPr>
        <w:pStyle w:val="Normal"/>
        <w:bidi w:val="0"/>
        <w:spacing w:lineRule="auto" w:line="240" w:before="0" w:after="0"/>
        <w:jc w:val="left"/>
        <w:rPr/>
      </w:pPr>
      <w:r>
        <w:rPr/>
      </w:r>
    </w:p>
    <w:tbl>
      <w:tblPr>
        <w:tblW w:w="9360" w:type="dxa"/>
        <w:jc w:val="left"/>
        <w:tblInd w:w="-5" w:type="dxa"/>
        <w:tblLayout w:type="fixed"/>
        <w:tblCellMar>
          <w:top w:w="120" w:type="dxa"/>
          <w:left w:w="200" w:type="dxa"/>
          <w:bottom w:w="120" w:type="dxa"/>
          <w:right w:w="200" w:type="dxa"/>
        </w:tblCellMar>
      </w:tblPr>
      <w:tblGrid>
        <w:gridCol w:w="9360"/>
      </w:tblGrid>
      <w:tr>
        <w:trPr/>
        <w:tc>
          <w:tcPr>
            <w:tcW w:w="9360" w:type="dxa"/>
            <w:tcBorders>
              <w:top w:val="single" w:sz="4" w:space="0" w:color="C55A11"/>
              <w:left w:val="single" w:sz="4" w:space="0" w:color="C55A11"/>
              <w:bottom w:val="single" w:sz="4" w:space="0" w:color="C55A11"/>
              <w:right w:val="single" w:sz="4" w:space="0" w:color="C55A11"/>
            </w:tcBorders>
            <w:shd w:fill="FFF2CC" w:val="clear"/>
          </w:tcPr>
          <w:p>
            <w:pPr>
              <w:pStyle w:val="Normal"/>
              <w:bidi w:val="0"/>
              <w:spacing w:lineRule="auto" w:line="240" w:before="0" w:after="80"/>
              <w:jc w:val="left"/>
              <w:rPr>
                <w:rFonts w:ascii="Arial" w:hAnsi="Arial" w:eastAsia="Arial" w:cs="Arial"/>
                <w:b/>
                <w:bCs/>
                <w:i w:val="false"/>
                <w:i w:val="false"/>
                <w:iCs w:val="false"/>
                <w:color w:val="C55A11"/>
                <w:sz w:val="20"/>
                <w:szCs w:val="20"/>
              </w:rPr>
            </w:pPr>
            <w:r>
              <w:rPr>
                <w:b/>
                <w:i w:val="0"/>
                <w:color w:val="C55A11"/>
                <w:sz w:val="20"/>
              </w:rPr>
              <w:t>SUPPLEMENTAL EXHIBIT CONTENTS</w:t>
              <w:br/>
              <w:t>Supplemental EX-A: Mr. Cooper correspondence concerning a fraud-related forbearance request</w:t>
              <w:br/>
              <w:t>Supplemental EX-B: Proton account-event export and IP comparison analysis</w:t>
            </w:r>
          </w:p>
        </w:tc>
      </w:tr>
    </w:tbl>
    <w:p>
      <w:pPr>
        <w:pStyle w:val="Normal"/>
        <w:bidi w:val="0"/>
        <w:jc w:val="left"/>
        <w:rPr/>
      </w:pPr>
      <w:r>
        <w:rPr/>
      </w:r>
      <w:r>
        <w:br w:type="page"/>
      </w:r>
    </w:p>
    <w:tbl>
      <w:tblPr>
        <w:tblW w:w="9360" w:type="dxa"/>
        <w:jc w:val="left"/>
        <w:tblInd w:w="-5" w:type="dxa"/>
        <w:tblLayout w:type="fixed"/>
        <w:tblCellMar>
          <w:top w:w="120" w:type="dxa"/>
          <w:left w:w="120" w:type="dxa"/>
          <w:bottom w:w="120" w:type="dxa"/>
          <w:right w:w="120" w:type="dxa"/>
        </w:tblCellMar>
      </w:tblPr>
      <w:tblGrid>
        <w:gridCol w:w="1439"/>
        <w:gridCol w:w="7921"/>
      </w:tblGrid>
      <w:tr>
        <w:trPr/>
        <w:tc>
          <w:tcPr>
            <w:tcW w:w="1439"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bidi w:val="0"/>
              <w:jc w:val="center"/>
              <w:rPr>
                <w:rFonts w:ascii="Arial" w:hAnsi="Arial" w:eastAsia="Arial" w:cs="Arial"/>
                <w:b/>
                <w:bCs/>
                <w:color w:val="FFFFFF"/>
                <w:sz w:val="16"/>
                <w:szCs w:val="16"/>
              </w:rPr>
            </w:pPr>
            <w:r>
              <w:rPr>
                <w:rFonts w:eastAsia="Arial" w:cs="Arial"/>
                <w:b/>
                <w:bCs/>
                <w:color w:val="FFFFFF"/>
                <w:sz w:val="16"/>
                <w:szCs w:val="16"/>
              </w:rPr>
              <w:t>SUPP</w:t>
            </w:r>
          </w:p>
          <w:p>
            <w:pPr>
              <w:pStyle w:val="Normal"/>
              <w:bidi w:val="0"/>
              <w:jc w:val="center"/>
              <w:rPr>
                <w:rFonts w:ascii="Arial" w:hAnsi="Arial" w:eastAsia="Arial" w:cs="Arial"/>
                <w:b/>
                <w:bCs/>
                <w:color w:val="FFFFFF"/>
                <w:sz w:val="32"/>
                <w:szCs w:val="32"/>
              </w:rPr>
            </w:pPr>
            <w:r>
              <w:rPr>
                <w:rFonts w:eastAsia="Arial" w:cs="Arial"/>
                <w:b/>
                <w:bCs/>
                <w:color w:val="FFFFFF"/>
                <w:sz w:val="32"/>
                <w:szCs w:val="32"/>
              </w:rPr>
              <w:t>EX-A</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bidi w:val="0"/>
              <w:jc w:val="left"/>
              <w:rPr>
                <w:rFonts w:ascii="Arial" w:hAnsi="Arial" w:eastAsia="Arial" w:cs="Arial"/>
                <w:b/>
                <w:bCs/>
                <w:color w:val="1F3864"/>
                <w:sz w:val="24"/>
                <w:szCs w:val="24"/>
              </w:rPr>
            </w:pPr>
            <w:r>
              <w:rPr>
                <w:b/>
                <w:color w:val="1F3864"/>
                <w:sz w:val="24"/>
              </w:rPr>
              <w:t>Mr. Cooper Correspondence Concerning Fraud-Related Forbearance Request</w:t>
            </w:r>
          </w:p>
        </w:tc>
      </w:tr>
      <w:tr>
        <w:trPr/>
        <w:tc>
          <w:tcPr>
            <w:tcW w:w="1439"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bidi w:val="0"/>
              <w:jc w:val="left"/>
              <w:rPr/>
            </w:pPr>
            <w:r>
              <w:rPr>
                <w:rFonts w:eastAsia="Arial" w:cs="Arial"/>
                <w:b/>
                <w:bCs/>
                <w:color w:val="1A1A1A"/>
                <w:sz w:val="18"/>
                <w:szCs w:val="18"/>
              </w:rPr>
              <w:t xml:space="preserve">Date: </w:t>
            </w:r>
            <w:r>
              <w:rPr>
                <w:rFonts w:eastAsia="Arial" w:cs="Arial"/>
                <w:color w:val="1A1A1A"/>
                <w:sz w:val="18"/>
                <w:szCs w:val="18"/>
              </w:rPr>
              <w:t xml:space="preserve">September 7–9, 2022  |  Forwarded October 31, 2025   </w:t>
            </w:r>
            <w:r>
              <w:rPr>
                <w:rFonts w:eastAsia="Arial" w:cs="Arial"/>
                <w:b/>
                <w:bCs/>
                <w:color w:val="1A1A1A"/>
                <w:sz w:val="18"/>
                <w:szCs w:val="18"/>
              </w:rPr>
              <w:t xml:space="preserve">Parties: </w:t>
            </w:r>
            <w:r>
              <w:rPr>
                <w:rFonts w:eastAsia="Arial" w:cs="Arial"/>
                <w:color w:val="1A1A1A"/>
                <w:sz w:val="18"/>
                <w:szCs w:val="18"/>
              </w:rPr>
              <w:t>Steve Safavi (Mr. Cooper VP) / Shannon Truitt / Rouena Konkiel / Mr. Cooper Loss &amp; Mediation</w:t>
            </w:r>
          </w:p>
        </w:tc>
      </w:tr>
      <w:tr>
        <w:trPr/>
        <w:tc>
          <w:tcPr>
            <w:tcW w:w="9360"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bidi w:val="0"/>
              <w:jc w:val="left"/>
              <w:rPr/>
            </w:pPr>
            <w:r>
              <w:rPr>
                <w:b/>
                <w:color w:val="C00000"/>
                <w:sz w:val="18"/>
              </w:rPr>
              <w:t>WHAT THE RECORD SHOWS: The correspondence documents that the forbearance request was presented to Mr. Cooper as fraud-related, that Vice President Steve Safavi made an internal request, and that he continued working on the matter. The correspondence does not establish that Mr. Cooper completed an investigation or issued a final finding confirming fraud.</w:t>
            </w:r>
          </w:p>
        </w:tc>
      </w:tr>
    </w:tbl>
    <w:p>
      <w:pPr>
        <w:pStyle w:val="Normal"/>
        <w:bidi w:val="0"/>
        <w:spacing w:lineRule="auto" w:line="240" w:before="0" w:after="0"/>
        <w:jc w:val="left"/>
        <w:rPr/>
      </w:pPr>
      <w:r>
        <w:rPr/>
      </w:r>
    </w:p>
    <w:p>
      <w:pPr>
        <w:pStyle w:val="Normal"/>
        <w:bidi w:val="0"/>
        <w:spacing w:lineRule="auto" w:line="240" w:before="0" w:after="120"/>
        <w:jc w:val="left"/>
        <w:rPr>
          <w:rFonts w:ascii="Arial" w:hAnsi="Arial" w:eastAsia="Arial" w:cs="Arial"/>
          <w:b w:val="false"/>
          <w:bCs w:val="false"/>
          <w:i w:val="false"/>
          <w:i w:val="false"/>
          <w:iCs w:val="false"/>
          <w:color w:val="1A1A1A"/>
          <w:sz w:val="20"/>
          <w:szCs w:val="20"/>
        </w:rPr>
      </w:pPr>
      <w:r>
        <w:rPr>
          <w:rFonts w:eastAsia="Arial" w:cs="Arial"/>
          <w:b w:val="false"/>
          <w:bCs w:val="false"/>
          <w:i w:val="false"/>
          <w:iCs w:val="false"/>
          <w:color w:val="1A1A1A"/>
          <w:sz w:val="20"/>
          <w:szCs w:val="20"/>
        </w:rPr>
        <w:t>This email chain was forwarded from Shannon Truitt's Proton Mail account (the.a.saurus.rex@protonmail.com) to her Gmail account on October 31, 2025. The original exchange was between german.8@protonmail.com (Shannon Truitt) and steve.safavi@mrcooper.com (Steve Safavi, VP, Mr. Cooper). The chain spans September 7–9, 2022.</w:t>
      </w:r>
    </w:p>
    <w:p>
      <w:pPr>
        <w:pStyle w:val="Heading2"/>
        <w:spacing w:lineRule="auto" w:line="240" w:before="240" w:after="100"/>
        <w:rPr>
          <w:rFonts w:ascii="Arial" w:hAnsi="Arial" w:eastAsia="Arial" w:cs="Arial"/>
          <w:b/>
          <w:bCs/>
          <w:color w:val="1F3864"/>
          <w:sz w:val="26"/>
          <w:szCs w:val="26"/>
        </w:rPr>
      </w:pPr>
      <w:r>
        <w:rPr>
          <w:rFonts w:eastAsia="Arial" w:cs="Arial"/>
          <w:b/>
          <w:bCs/>
          <w:color w:val="1F3864"/>
          <w:sz w:val="26"/>
          <w:szCs w:val="26"/>
        </w:rPr>
        <w:t>Email 1 — September 7, 2022 (Shannon to Safavi)</w:t>
      </w:r>
    </w:p>
    <w:tbl>
      <w:tblPr>
        <w:tblW w:w="9360" w:type="dxa"/>
        <w:jc w:val="left"/>
        <w:tblInd w:w="-5" w:type="dxa"/>
        <w:tblLayout w:type="fixed"/>
        <w:tblCellMar>
          <w:top w:w="120" w:type="dxa"/>
          <w:left w:w="200" w:type="dxa"/>
          <w:bottom w:w="120" w:type="dxa"/>
          <w:right w:w="200" w:type="dxa"/>
        </w:tblCellMar>
      </w:tblPr>
      <w:tblGrid>
        <w:gridCol w:w="9360"/>
      </w:tblGrid>
      <w:tr>
        <w:trPr/>
        <w:tc>
          <w:tcPr>
            <w:tcW w:w="9360" w:type="dxa"/>
            <w:tcBorders>
              <w:top w:val="single" w:sz="4" w:space="0" w:color="1F3864"/>
              <w:left w:val="single" w:sz="4" w:space="0" w:color="1F3864"/>
              <w:bottom w:val="single" w:sz="4" w:space="0" w:color="1F3864"/>
              <w:right w:val="single" w:sz="4" w:space="0" w:color="1F3864"/>
            </w:tcBorders>
            <w:shd w:fill="F2F2F2" w:val="clear"/>
          </w:tcPr>
          <w:p>
            <w:pPr>
              <w:pStyle w:val="Normal"/>
              <w:bidi w:val="0"/>
              <w:spacing w:lineRule="auto" w:line="240" w:before="0" w:after="50"/>
              <w:jc w:val="left"/>
              <w:rPr>
                <w:rFonts w:ascii="Arial" w:hAnsi="Arial" w:eastAsia="Arial" w:cs="Arial"/>
                <w:b/>
                <w:bCs/>
                <w:color w:val="1A1A1A"/>
                <w:sz w:val="17"/>
                <w:szCs w:val="17"/>
              </w:rPr>
            </w:pPr>
            <w:r>
              <w:rPr>
                <w:rFonts w:eastAsia="Arial" w:cs="Arial"/>
                <w:b/>
                <w:bCs/>
                <w:color w:val="1A1A1A"/>
                <w:sz w:val="17"/>
                <w:szCs w:val="17"/>
              </w:rPr>
              <w:t>FROM: german.8@protonmail.com (Shannon Truitt)</w:t>
            </w:r>
          </w:p>
          <w:p>
            <w:pPr>
              <w:pStyle w:val="Normal"/>
              <w:bidi w:val="0"/>
              <w:spacing w:lineRule="auto" w:line="240" w:before="0" w:after="50"/>
              <w:jc w:val="left"/>
              <w:rPr>
                <w:rFonts w:ascii="Arial" w:hAnsi="Arial" w:eastAsia="Arial" w:cs="Arial"/>
                <w:b/>
                <w:bCs/>
                <w:color w:val="1A1A1A"/>
                <w:sz w:val="17"/>
                <w:szCs w:val="17"/>
              </w:rPr>
            </w:pPr>
            <w:r>
              <w:rPr>
                <w:rFonts w:eastAsia="Arial" w:cs="Arial"/>
                <w:b/>
                <w:bCs/>
                <w:color w:val="1A1A1A"/>
                <w:sz w:val="17"/>
                <w:szCs w:val="17"/>
              </w:rPr>
              <w:t>TO: steve.safavi@mrcooper.com</w:t>
            </w:r>
          </w:p>
          <w:p>
            <w:pPr>
              <w:pStyle w:val="Normal"/>
              <w:bidi w:val="0"/>
              <w:spacing w:lineRule="auto" w:line="240" w:before="0" w:after="50"/>
              <w:jc w:val="left"/>
              <w:rPr>
                <w:rFonts w:ascii="Arial" w:hAnsi="Arial" w:eastAsia="Arial" w:cs="Arial"/>
                <w:b/>
                <w:bCs/>
                <w:color w:val="1A1A1A"/>
                <w:sz w:val="17"/>
                <w:szCs w:val="17"/>
              </w:rPr>
            </w:pPr>
            <w:r>
              <w:rPr>
                <w:rFonts w:eastAsia="Arial" w:cs="Arial"/>
                <w:b/>
                <w:bCs/>
                <w:color w:val="1A1A1A"/>
                <w:sz w:val="17"/>
                <w:szCs w:val="17"/>
              </w:rPr>
              <w:t>DATE: Wednesday, September 7, 2022, 7:30 PM</w:t>
            </w:r>
          </w:p>
          <w:p>
            <w:pPr>
              <w:pStyle w:val="Normal"/>
              <w:bidi w:val="0"/>
              <w:spacing w:lineRule="auto" w:line="240" w:before="0" w:after="50"/>
              <w:jc w:val="left"/>
              <w:rPr>
                <w:rFonts w:ascii="Arial" w:hAnsi="Arial" w:eastAsia="Arial" w:cs="Arial"/>
                <w:b w:val="false"/>
                <w:bCs w:val="false"/>
                <w:color w:val="1A1A1A"/>
                <w:sz w:val="17"/>
                <w:szCs w:val="17"/>
              </w:rPr>
            </w:pPr>
            <w:r>
              <w:rPr>
                <w:rFonts w:eastAsia="Arial" w:cs="Arial"/>
                <w:b w:val="false"/>
                <w:bCs w:val="false"/>
                <w:color w:val="1A1A1A"/>
                <w:sz w:val="17"/>
                <w:szCs w:val="17"/>
              </w:rPr>
              <w:t>SUBJECT: A copy and paste from the last email sent / Regarding Possible Forbearance for Rouena Konkiel</w:t>
            </w:r>
          </w:p>
          <w:p>
            <w:pPr>
              <w:pStyle w:val="Normal"/>
              <w:bidi w:val="0"/>
              <w:spacing w:lineRule="auto" w:line="240" w:before="0" w:after="50"/>
              <w:jc w:val="left"/>
              <w:rPr/>
            </w:pPr>
            <w:r>
              <w:rPr/>
            </w:r>
          </w:p>
          <w:p>
            <w:pPr>
              <w:pStyle w:val="Normal"/>
              <w:bidi w:val="0"/>
              <w:spacing w:lineRule="auto" w:line="240" w:before="0" w:after="50"/>
              <w:jc w:val="left"/>
              <w:rPr>
                <w:rFonts w:ascii="Arial" w:hAnsi="Arial" w:eastAsia="Arial" w:cs="Arial"/>
                <w:b w:val="false"/>
                <w:bCs w:val="false"/>
                <w:color w:val="1A1A1A"/>
                <w:sz w:val="18"/>
                <w:szCs w:val="18"/>
              </w:rPr>
            </w:pPr>
            <w:r>
              <w:rPr>
                <w:rFonts w:eastAsia="Arial" w:cs="Arial"/>
                <w:b w:val="false"/>
                <w:bCs w:val="false"/>
                <w:color w:val="1A1A1A"/>
                <w:sz w:val="18"/>
                <w:szCs w:val="18"/>
              </w:rPr>
              <w:t>Shannon writes on behalf of Rouena Konkiel requesting a forbearance, referencing a prior phone conversation in which Safavi mentioned the possibility of a forbearance. Shannon describes Rouena's financial situation in detail:</w:t>
            </w:r>
          </w:p>
          <w:p>
            <w:pPr>
              <w:pStyle w:val="Normal"/>
              <w:bidi w:val="0"/>
              <w:spacing w:lineRule="auto" w:line="240" w:before="0" w:after="50"/>
              <w:jc w:val="left"/>
              <w:rPr/>
            </w:pPr>
            <w:r>
              <w:rPr/>
            </w:r>
          </w:p>
          <w:p>
            <w:pPr>
              <w:pStyle w:val="Normal"/>
              <w:bidi w:val="0"/>
              <w:spacing w:lineRule="auto" w:line="240" w:before="0" w:after="50"/>
              <w:jc w:val="left"/>
              <w:rPr>
                <w:rFonts w:ascii="Arial" w:hAnsi="Arial" w:eastAsia="Arial" w:cs="Arial"/>
                <w:b w:val="false"/>
                <w:bCs w:val="false"/>
                <w:color w:val="1A1A1A"/>
                <w:sz w:val="17"/>
                <w:szCs w:val="17"/>
              </w:rPr>
            </w:pPr>
            <w:r>
              <w:rPr>
                <w:rFonts w:eastAsia="Arial" w:cs="Arial"/>
                <w:b w:val="false"/>
                <w:bCs w:val="false"/>
                <w:color w:val="1A1A1A"/>
                <w:sz w:val="17"/>
                <w:szCs w:val="17"/>
              </w:rPr>
              <w:t xml:space="preserve">• </w:t>
            </w:r>
            <w:r>
              <w:rPr>
                <w:rFonts w:eastAsia="Arial" w:cs="Arial"/>
                <w:b w:val="false"/>
                <w:bCs w:val="false"/>
                <w:color w:val="1A1A1A"/>
                <w:sz w:val="17"/>
                <w:szCs w:val="17"/>
              </w:rPr>
              <w:t>Two tax bills received: Kent County claiming Rouena never paid 2021 county tax (despite the mortgage showing she paid DiTomasso's past-due taxes); City of Milford tax bill for $463.68 due September 30, 2022</w:t>
            </w:r>
          </w:p>
          <w:p>
            <w:pPr>
              <w:pStyle w:val="Normal"/>
              <w:bidi w:val="0"/>
              <w:spacing w:lineRule="auto" w:line="240" w:before="0" w:after="50"/>
              <w:jc w:val="left"/>
              <w:rPr>
                <w:rFonts w:ascii="Arial" w:hAnsi="Arial" w:eastAsia="Arial" w:cs="Arial"/>
                <w:b w:val="false"/>
                <w:bCs w:val="false"/>
                <w:color w:val="1A1A1A"/>
                <w:sz w:val="17"/>
                <w:szCs w:val="17"/>
              </w:rPr>
            </w:pPr>
            <w:r>
              <w:rPr>
                <w:rFonts w:eastAsia="Arial" w:cs="Arial"/>
                <w:b w:val="false"/>
                <w:bCs w:val="false"/>
                <w:color w:val="1A1A1A"/>
                <w:sz w:val="17"/>
                <w:szCs w:val="17"/>
              </w:rPr>
              <w:t xml:space="preserve">• </w:t>
            </w:r>
            <w:r>
              <w:rPr>
                <w:rFonts w:eastAsia="Arial" w:cs="Arial"/>
                <w:b w:val="false"/>
                <w:bCs w:val="false"/>
                <w:color w:val="1A1A1A"/>
                <w:sz w:val="17"/>
                <w:szCs w:val="17"/>
              </w:rPr>
              <w:t>'With the title loan, the mortgage payment, the utilities, and now these two confusing tax bills, my mother will not be able to keep up without going into default with at least one of those mentioned.'</w:t>
            </w:r>
          </w:p>
          <w:p>
            <w:pPr>
              <w:pStyle w:val="Normal"/>
              <w:bidi w:val="0"/>
              <w:spacing w:lineRule="auto" w:line="240" w:before="0" w:after="50"/>
              <w:jc w:val="left"/>
              <w:rPr>
                <w:rFonts w:ascii="Arial" w:hAnsi="Arial" w:eastAsia="Arial" w:cs="Arial"/>
                <w:b/>
                <w:bCs/>
                <w:color w:val="C00000"/>
                <w:sz w:val="18"/>
                <w:szCs w:val="18"/>
              </w:rPr>
            </w:pPr>
            <w:r>
              <w:rPr>
                <w:rFonts w:eastAsia="Arial" w:cs="Arial"/>
                <w:b/>
                <w:bCs/>
                <w:color w:val="C00000"/>
                <w:sz w:val="18"/>
                <w:szCs w:val="18"/>
              </w:rPr>
              <w:t xml:space="preserve">• </w:t>
            </w:r>
            <w:r>
              <w:rPr>
                <w:rFonts w:eastAsia="Arial" w:cs="Arial"/>
                <w:b/>
                <w:bCs/>
                <w:color w:val="C00000"/>
                <w:sz w:val="18"/>
                <w:szCs w:val="18"/>
              </w:rPr>
              <w:t>'Neither of us have heard from anyone regarding the fraud surrounding the mortgage which has only added to our concerns, especially hers.'</w:t>
            </w:r>
          </w:p>
          <w:p>
            <w:pPr>
              <w:pStyle w:val="Normal"/>
              <w:bidi w:val="0"/>
              <w:spacing w:lineRule="auto" w:line="240" w:before="0" w:after="50"/>
              <w:jc w:val="left"/>
              <w:rPr>
                <w:rFonts w:ascii="Arial" w:hAnsi="Arial" w:eastAsia="Arial" w:cs="Arial"/>
                <w:b w:val="false"/>
                <w:bCs w:val="false"/>
                <w:color w:val="1A1A1A"/>
                <w:sz w:val="17"/>
                <w:szCs w:val="17"/>
              </w:rPr>
            </w:pPr>
            <w:r>
              <w:rPr>
                <w:rFonts w:eastAsia="Arial" w:cs="Arial"/>
                <w:b w:val="false"/>
                <w:bCs w:val="false"/>
                <w:color w:val="1A1A1A"/>
                <w:sz w:val="17"/>
                <w:szCs w:val="17"/>
              </w:rPr>
              <w:t xml:space="preserve">• </w:t>
            </w:r>
            <w:r>
              <w:rPr>
                <w:rFonts w:eastAsia="Arial" w:cs="Arial"/>
                <w:b w:val="false"/>
                <w:bCs w:val="false"/>
                <w:color w:val="1A1A1A"/>
                <w:sz w:val="17"/>
                <w:szCs w:val="17"/>
              </w:rPr>
              <w:t>House number: 302-503-7502</w:t>
            </w:r>
          </w:p>
        </w:tc>
      </w:tr>
    </w:tbl>
    <w:p>
      <w:pPr>
        <w:pStyle w:val="Normal"/>
        <w:bidi w:val="0"/>
        <w:spacing w:lineRule="auto" w:line="240" w:before="0" w:after="0"/>
        <w:jc w:val="left"/>
        <w:rPr/>
      </w:pPr>
      <w:r>
        <w:rPr/>
      </w:r>
    </w:p>
    <w:p>
      <w:pPr>
        <w:pStyle w:val="Heading2"/>
        <w:spacing w:lineRule="auto" w:line="240" w:before="240" w:after="100"/>
        <w:rPr>
          <w:rFonts w:ascii="Arial" w:hAnsi="Arial" w:eastAsia="Arial" w:cs="Arial"/>
          <w:b/>
          <w:bCs/>
          <w:color w:val="1F3864"/>
          <w:sz w:val="26"/>
          <w:szCs w:val="26"/>
        </w:rPr>
      </w:pPr>
      <w:r>
        <w:rPr>
          <w:rFonts w:eastAsia="Arial" w:cs="Arial"/>
          <w:b/>
          <w:bCs/>
          <w:color w:val="1F3864"/>
          <w:sz w:val="26"/>
          <w:szCs w:val="26"/>
        </w:rPr>
        <w:t>Email 2 — September 8, 2022 (Safavi to Shannon)</w:t>
      </w:r>
    </w:p>
    <w:tbl>
      <w:tblPr>
        <w:tblW w:w="9360" w:type="dxa"/>
        <w:jc w:val="left"/>
        <w:tblInd w:w="-5" w:type="dxa"/>
        <w:tblLayout w:type="fixed"/>
        <w:tblCellMar>
          <w:top w:w="120" w:type="dxa"/>
          <w:left w:w="200" w:type="dxa"/>
          <w:bottom w:w="120" w:type="dxa"/>
          <w:right w:w="200" w:type="dxa"/>
        </w:tblCellMar>
      </w:tblPr>
      <w:tblGrid>
        <w:gridCol w:w="9360"/>
      </w:tblGrid>
      <w:tr>
        <w:trPr/>
        <w:tc>
          <w:tcPr>
            <w:tcW w:w="9360" w:type="dxa"/>
            <w:tcBorders>
              <w:top w:val="single" w:sz="4" w:space="0" w:color="C00000"/>
              <w:left w:val="single" w:sz="4" w:space="0" w:color="C00000"/>
              <w:bottom w:val="single" w:sz="4" w:space="0" w:color="C00000"/>
              <w:right w:val="single" w:sz="4" w:space="0" w:color="C00000"/>
            </w:tcBorders>
            <w:shd w:fill="FCE4E4" w:val="clear"/>
          </w:tcPr>
          <w:p>
            <w:pPr>
              <w:pStyle w:val="Normal"/>
              <w:bidi w:val="0"/>
              <w:spacing w:lineRule="auto" w:line="240" w:before="0" w:after="50"/>
              <w:jc w:val="left"/>
              <w:rPr>
                <w:rFonts w:ascii="Arial" w:hAnsi="Arial" w:eastAsia="Arial" w:cs="Arial"/>
                <w:b/>
                <w:bCs/>
                <w:color w:val="1A1A1A"/>
                <w:sz w:val="17"/>
                <w:szCs w:val="17"/>
              </w:rPr>
            </w:pPr>
            <w:r>
              <w:rPr>
                <w:rFonts w:eastAsia="Arial" w:cs="Arial"/>
                <w:b/>
                <w:bCs/>
                <w:color w:val="1A1A1A"/>
                <w:sz w:val="17"/>
                <w:szCs w:val="17"/>
              </w:rPr>
              <w:t>FROM: Steve Safavi &lt;steve.safavi@mrcooper.com&gt;</w:t>
            </w:r>
          </w:p>
          <w:p>
            <w:pPr>
              <w:pStyle w:val="Normal"/>
              <w:bidi w:val="0"/>
              <w:spacing w:lineRule="auto" w:line="240" w:before="0" w:after="50"/>
              <w:jc w:val="left"/>
              <w:rPr>
                <w:rFonts w:ascii="Arial" w:hAnsi="Arial" w:eastAsia="Arial" w:cs="Arial"/>
                <w:b/>
                <w:bCs/>
                <w:color w:val="1A1A1A"/>
                <w:sz w:val="17"/>
                <w:szCs w:val="17"/>
              </w:rPr>
            </w:pPr>
            <w:r>
              <w:rPr>
                <w:rFonts w:eastAsia="Arial" w:cs="Arial"/>
                <w:b/>
                <w:bCs/>
                <w:color w:val="1A1A1A"/>
                <w:sz w:val="17"/>
                <w:szCs w:val="17"/>
              </w:rPr>
              <w:t>TO: german.8@protonmail.com</w:t>
            </w:r>
          </w:p>
          <w:p>
            <w:pPr>
              <w:pStyle w:val="Normal"/>
              <w:bidi w:val="0"/>
              <w:spacing w:lineRule="auto" w:line="240" w:before="0" w:after="50"/>
              <w:jc w:val="left"/>
              <w:rPr>
                <w:rFonts w:ascii="Arial" w:hAnsi="Arial" w:eastAsia="Arial" w:cs="Arial"/>
                <w:b/>
                <w:bCs/>
                <w:color w:val="1A1A1A"/>
                <w:sz w:val="17"/>
                <w:szCs w:val="17"/>
              </w:rPr>
            </w:pPr>
            <w:r>
              <w:rPr>
                <w:rFonts w:eastAsia="Arial" w:cs="Arial"/>
                <w:b/>
                <w:bCs/>
                <w:color w:val="1A1A1A"/>
                <w:sz w:val="17"/>
                <w:szCs w:val="17"/>
              </w:rPr>
              <w:t>DATE: Thursday, September 8, 2022, 10:41 AM</w:t>
            </w:r>
          </w:p>
          <w:p>
            <w:pPr>
              <w:pStyle w:val="Normal"/>
              <w:bidi w:val="0"/>
              <w:spacing w:lineRule="auto" w:line="240" w:before="0" w:after="50"/>
              <w:jc w:val="left"/>
              <w:rPr/>
            </w:pPr>
            <w:r>
              <w:rPr/>
            </w:r>
          </w:p>
          <w:p>
            <w:pPr>
              <w:pStyle w:val="Normal"/>
              <w:bidi w:val="0"/>
              <w:spacing w:lineRule="auto" w:line="240" w:before="0" w:after="50"/>
              <w:jc w:val="left"/>
              <w:rPr>
                <w:rFonts w:ascii="Arial" w:hAnsi="Arial" w:eastAsia="Arial" w:cs="Arial"/>
                <w:b/>
                <w:bCs/>
                <w:color w:val="C00000"/>
                <w:sz w:val="20"/>
                <w:szCs w:val="20"/>
              </w:rPr>
            </w:pPr>
            <w:r>
              <w:rPr>
                <w:rFonts w:eastAsia="Arial" w:cs="Arial"/>
                <w:b/>
                <w:bCs/>
                <w:color w:val="C00000"/>
                <w:sz w:val="20"/>
                <w:szCs w:val="20"/>
              </w:rPr>
              <w:t>"Good morning, I have made the request internally, however, please have your mother also call in to make the request since she is the primary account holder."</w:t>
            </w:r>
          </w:p>
          <w:p>
            <w:pPr>
              <w:pStyle w:val="Normal"/>
              <w:bidi w:val="0"/>
              <w:spacing w:lineRule="auto" w:line="240" w:before="0" w:after="50"/>
              <w:jc w:val="left"/>
              <w:rPr/>
            </w:pPr>
            <w:r>
              <w:rPr/>
            </w:r>
          </w:p>
          <w:p>
            <w:pPr>
              <w:pStyle w:val="Normal"/>
              <w:bidi w:val="0"/>
              <w:spacing w:lineRule="auto" w:line="240" w:before="0" w:after="50"/>
              <w:jc w:val="left"/>
              <w:rPr>
                <w:rFonts w:ascii="Arial" w:hAnsi="Arial" w:eastAsia="Arial" w:cs="Arial"/>
                <w:b w:val="false"/>
                <w:bCs w:val="false"/>
                <w:color w:val="595959"/>
                <w:sz w:val="17"/>
                <w:szCs w:val="17"/>
              </w:rPr>
            </w:pPr>
            <w:r>
              <w:rPr>
                <w:rFonts w:eastAsia="Arial" w:cs="Arial"/>
                <w:b w:val="false"/>
                <w:bCs w:val="false"/>
                <w:color w:val="595959"/>
                <w:sz w:val="17"/>
                <w:szCs w:val="17"/>
              </w:rPr>
              <w:t xml:space="preserve">— </w:t>
            </w:r>
            <w:r>
              <w:rPr>
                <w:rFonts w:eastAsia="Arial" w:cs="Arial"/>
                <w:b w:val="false"/>
                <w:bCs w:val="false"/>
                <w:color w:val="595959"/>
                <w:sz w:val="17"/>
                <w:szCs w:val="17"/>
              </w:rPr>
              <w:t>Steve Safavi, Mr. Cooper</w:t>
            </w:r>
          </w:p>
        </w:tc>
      </w:tr>
    </w:tbl>
    <w:p>
      <w:pPr>
        <w:pStyle w:val="Normal"/>
        <w:bidi w:val="0"/>
        <w:spacing w:lineRule="auto" w:line="240" w:before="0" w:after="0"/>
        <w:jc w:val="left"/>
        <w:rPr/>
      </w:pPr>
      <w:r>
        <w:rPr/>
      </w:r>
    </w:p>
    <w:p>
      <w:pPr>
        <w:pStyle w:val="Heading2"/>
        <w:spacing w:lineRule="auto" w:line="240" w:before="240" w:after="100"/>
        <w:rPr>
          <w:rFonts w:ascii="Arial" w:hAnsi="Arial" w:eastAsia="Arial" w:cs="Arial"/>
          <w:b/>
          <w:bCs/>
          <w:color w:val="1F3864"/>
          <w:sz w:val="26"/>
          <w:szCs w:val="26"/>
        </w:rPr>
      </w:pPr>
      <w:r>
        <w:rPr>
          <w:rFonts w:eastAsia="Arial" w:cs="Arial"/>
          <w:b/>
          <w:bCs/>
          <w:color w:val="1F3864"/>
          <w:sz w:val="26"/>
          <w:szCs w:val="26"/>
        </w:rPr>
        <w:t>Email 3 — September 9, 2022 (Shannon to Safavi, 5:32 PM)</w:t>
      </w:r>
    </w:p>
    <w:tbl>
      <w:tblPr>
        <w:tblW w:w="9360" w:type="dxa"/>
        <w:jc w:val="left"/>
        <w:tblInd w:w="-5" w:type="dxa"/>
        <w:tblLayout w:type="fixed"/>
        <w:tblCellMar>
          <w:top w:w="120" w:type="dxa"/>
          <w:left w:w="200" w:type="dxa"/>
          <w:bottom w:w="120" w:type="dxa"/>
          <w:right w:w="200" w:type="dxa"/>
        </w:tblCellMar>
      </w:tblPr>
      <w:tblGrid>
        <w:gridCol w:w="9360"/>
      </w:tblGrid>
      <w:tr>
        <w:trPr/>
        <w:tc>
          <w:tcPr>
            <w:tcW w:w="9360" w:type="dxa"/>
            <w:tcBorders>
              <w:top w:val="single" w:sz="4" w:space="0" w:color="C00000"/>
              <w:left w:val="single" w:sz="4" w:space="0" w:color="C00000"/>
              <w:bottom w:val="single" w:sz="4" w:space="0" w:color="C00000"/>
              <w:right w:val="single" w:sz="4" w:space="0" w:color="C00000"/>
            </w:tcBorders>
            <w:shd w:fill="FCE4E4" w:val="clear"/>
          </w:tcPr>
          <w:p>
            <w:pPr>
              <w:pStyle w:val="Normal"/>
              <w:bidi w:val="0"/>
              <w:spacing w:lineRule="auto" w:line="240" w:before="0" w:after="50"/>
              <w:jc w:val="left"/>
              <w:rPr>
                <w:rFonts w:ascii="Arial" w:hAnsi="Arial" w:eastAsia="Arial" w:cs="Arial"/>
                <w:b w:val="false"/>
                <w:bCs w:val="false"/>
                <w:color w:val="1A1A1A"/>
                <w:sz w:val="18"/>
                <w:szCs w:val="18"/>
              </w:rPr>
            </w:pPr>
            <w:r>
              <w:rPr>
                <w:rFonts w:eastAsia="Arial" w:cs="Arial"/>
                <w:b w:val="false"/>
                <w:bCs w:val="false"/>
                <w:color w:val="1A1A1A"/>
                <w:sz w:val="18"/>
                <w:szCs w:val="18"/>
              </w:rPr>
              <w:t>Shannon confirms Rouena called Mr. Cooper's loss and mediation department at 5:30 PM EST using the number Safavi provided. The department representative's response is critical:</w:t>
            </w:r>
          </w:p>
          <w:p>
            <w:pPr>
              <w:pStyle w:val="Normal"/>
              <w:bidi w:val="0"/>
              <w:spacing w:lineRule="auto" w:line="240" w:before="0" w:after="50"/>
              <w:jc w:val="left"/>
              <w:rPr/>
            </w:pPr>
            <w:r>
              <w:rPr/>
            </w:r>
          </w:p>
          <w:p>
            <w:pPr>
              <w:pStyle w:val="Normal"/>
              <w:bidi w:val="0"/>
              <w:spacing w:lineRule="auto" w:line="240" w:before="0" w:after="50"/>
              <w:jc w:val="left"/>
              <w:rPr>
                <w:rFonts w:ascii="Arial" w:hAnsi="Arial" w:eastAsia="Arial" w:cs="Arial"/>
                <w:b/>
                <w:bCs/>
                <w:color w:val="C00000"/>
                <w:sz w:val="20"/>
                <w:szCs w:val="20"/>
              </w:rPr>
            </w:pPr>
            <w:r>
              <w:rPr>
                <w:rFonts w:eastAsia="Arial" w:cs="Arial"/>
                <w:b/>
                <w:bCs/>
                <w:color w:val="C00000"/>
                <w:sz w:val="20"/>
                <w:szCs w:val="20"/>
              </w:rPr>
              <w:t>"The woman we both spoke with asked for your information and stated she would reach out to you since the request was based upon fraud and not COVID related."</w:t>
            </w:r>
          </w:p>
          <w:p>
            <w:pPr>
              <w:pStyle w:val="Normal"/>
              <w:bidi w:val="0"/>
              <w:spacing w:lineRule="auto" w:line="240" w:before="0" w:after="50"/>
              <w:jc w:val="left"/>
              <w:rPr/>
            </w:pPr>
            <w:r>
              <w:rPr/>
            </w:r>
          </w:p>
          <w:p>
            <w:pPr>
              <w:pStyle w:val="Normal"/>
              <w:bidi w:val="0"/>
              <w:spacing w:lineRule="auto" w:line="240" w:before="0" w:after="50"/>
              <w:jc w:val="left"/>
              <w:rPr>
                <w:rFonts w:ascii="Arial" w:hAnsi="Arial" w:eastAsia="Arial" w:cs="Arial"/>
                <w:b/>
                <w:bCs/>
                <w:color w:val="C00000"/>
                <w:sz w:val="20"/>
                <w:szCs w:val="20"/>
              </w:rPr>
            </w:pPr>
            <w:r>
              <w:rPr>
                <w:rFonts w:eastAsia="Arial" w:cs="Arial"/>
                <w:b/>
                <w:bCs/>
                <w:color w:val="C00000"/>
                <w:sz w:val="20"/>
                <w:szCs w:val="20"/>
              </w:rPr>
              <w:t>"She reiterated that because the matter was fraud related she didn't want to 'step on anyone's toes' or act in a way that may disrupt what's going on with the account which my mother understood."</w:t>
            </w:r>
          </w:p>
          <w:p>
            <w:pPr>
              <w:pStyle w:val="Normal"/>
              <w:bidi w:val="0"/>
              <w:spacing w:lineRule="auto" w:line="240" w:before="0" w:after="50"/>
              <w:jc w:val="left"/>
              <w:rPr/>
            </w:pPr>
            <w:r>
              <w:rPr/>
            </w:r>
          </w:p>
          <w:p>
            <w:pPr>
              <w:pStyle w:val="Normal"/>
              <w:bidi w:val="0"/>
              <w:spacing w:lineRule="auto" w:line="240" w:before="0" w:after="50"/>
              <w:jc w:val="left"/>
              <w:rPr>
                <w:rFonts w:ascii="Arial" w:hAnsi="Arial" w:eastAsia="Arial" w:cs="Arial"/>
                <w:b w:val="false"/>
                <w:bCs w:val="false"/>
                <w:color w:val="1A1A1A"/>
                <w:sz w:val="18"/>
                <w:szCs w:val="18"/>
              </w:rPr>
            </w:pPr>
            <w:r>
              <w:rPr>
                <w:rFonts w:eastAsia="Arial" w:cs="Arial"/>
                <w:b w:val="false"/>
                <w:bCs w:val="false"/>
                <w:color w:val="1A1A1A"/>
                <w:sz w:val="18"/>
                <w:szCs w:val="18"/>
              </w:rPr>
              <w:t>"My mother explained that if she were to submit her payment this month she wouldn't have enough to buy her groceries nor her diabetic medication so as of right now she's pretty worried about everything."</w:t>
            </w:r>
          </w:p>
        </w:tc>
      </w:tr>
    </w:tbl>
    <w:p>
      <w:pPr>
        <w:pStyle w:val="Normal"/>
        <w:bidi w:val="0"/>
        <w:spacing w:lineRule="auto" w:line="240" w:before="0" w:after="0"/>
        <w:jc w:val="left"/>
        <w:rPr/>
      </w:pPr>
      <w:r>
        <w:rPr/>
      </w:r>
    </w:p>
    <w:p>
      <w:pPr>
        <w:pStyle w:val="Heading2"/>
        <w:spacing w:lineRule="auto" w:line="240" w:before="240" w:after="100"/>
        <w:rPr>
          <w:rFonts w:ascii="Arial" w:hAnsi="Arial" w:eastAsia="Arial" w:cs="Arial"/>
          <w:b/>
          <w:bCs/>
          <w:color w:val="1F3864"/>
          <w:sz w:val="26"/>
          <w:szCs w:val="26"/>
        </w:rPr>
      </w:pPr>
      <w:r>
        <w:rPr>
          <w:rFonts w:eastAsia="Arial" w:cs="Arial"/>
          <w:b/>
          <w:bCs/>
          <w:color w:val="1F3864"/>
          <w:sz w:val="26"/>
          <w:szCs w:val="26"/>
        </w:rPr>
        <w:t>Email 4 — September 9, 2022 (Safavi to Shannon, 6:33 PM)</w:t>
      </w:r>
    </w:p>
    <w:tbl>
      <w:tblPr>
        <w:tblW w:w="9360" w:type="dxa"/>
        <w:jc w:val="left"/>
        <w:tblInd w:w="-5" w:type="dxa"/>
        <w:tblLayout w:type="fixed"/>
        <w:tblCellMar>
          <w:top w:w="120" w:type="dxa"/>
          <w:left w:w="200" w:type="dxa"/>
          <w:bottom w:w="120" w:type="dxa"/>
          <w:right w:w="200" w:type="dxa"/>
        </w:tblCellMar>
      </w:tblPr>
      <w:tblGrid>
        <w:gridCol w:w="9360"/>
      </w:tblGrid>
      <w:tr>
        <w:trPr/>
        <w:tc>
          <w:tcPr>
            <w:tcW w:w="9360" w:type="dxa"/>
            <w:tcBorders>
              <w:top w:val="single" w:sz="4" w:space="0" w:color="C00000"/>
              <w:left w:val="single" w:sz="4" w:space="0" w:color="C00000"/>
              <w:bottom w:val="single" w:sz="4" w:space="0" w:color="C00000"/>
              <w:right w:val="single" w:sz="4" w:space="0" w:color="C00000"/>
            </w:tcBorders>
            <w:shd w:fill="FCE4E4" w:val="clear"/>
          </w:tcPr>
          <w:p>
            <w:pPr>
              <w:pStyle w:val="Normal"/>
              <w:bidi w:val="0"/>
              <w:spacing w:lineRule="auto" w:line="240" w:before="0" w:after="50"/>
              <w:jc w:val="left"/>
              <w:rPr>
                <w:rFonts w:ascii="Arial" w:hAnsi="Arial" w:eastAsia="Arial" w:cs="Arial"/>
                <w:b/>
                <w:bCs/>
                <w:color w:val="1A1A1A"/>
                <w:sz w:val="17"/>
                <w:szCs w:val="17"/>
              </w:rPr>
            </w:pPr>
            <w:r>
              <w:rPr>
                <w:rFonts w:eastAsia="Arial" w:cs="Arial"/>
                <w:b/>
                <w:bCs/>
                <w:color w:val="1A1A1A"/>
                <w:sz w:val="17"/>
                <w:szCs w:val="17"/>
              </w:rPr>
              <w:t>FROM: Steve Safavi &lt;steve.safavi@mrcooper.com&gt;</w:t>
            </w:r>
          </w:p>
          <w:p>
            <w:pPr>
              <w:pStyle w:val="Normal"/>
              <w:bidi w:val="0"/>
              <w:spacing w:lineRule="auto" w:line="240" w:before="0" w:after="50"/>
              <w:jc w:val="left"/>
              <w:rPr>
                <w:rFonts w:ascii="Arial" w:hAnsi="Arial" w:eastAsia="Arial" w:cs="Arial"/>
                <w:b/>
                <w:bCs/>
                <w:color w:val="1A1A1A"/>
                <w:sz w:val="17"/>
                <w:szCs w:val="17"/>
              </w:rPr>
            </w:pPr>
            <w:r>
              <w:rPr>
                <w:rFonts w:eastAsia="Arial" w:cs="Arial"/>
                <w:b/>
                <w:bCs/>
                <w:color w:val="1A1A1A"/>
                <w:sz w:val="17"/>
                <w:szCs w:val="17"/>
              </w:rPr>
              <w:t>DATE: Friday, September 9, 2022, 6:33 PM</w:t>
            </w:r>
          </w:p>
          <w:p>
            <w:pPr>
              <w:pStyle w:val="Normal"/>
              <w:bidi w:val="0"/>
              <w:spacing w:lineRule="auto" w:line="240" w:before="0" w:after="50"/>
              <w:jc w:val="left"/>
              <w:rPr/>
            </w:pPr>
            <w:r>
              <w:rPr/>
            </w:r>
          </w:p>
          <w:p>
            <w:pPr>
              <w:pStyle w:val="Normal"/>
              <w:bidi w:val="0"/>
              <w:spacing w:lineRule="auto" w:line="240" w:before="0" w:after="50"/>
              <w:jc w:val="left"/>
              <w:rPr>
                <w:rFonts w:ascii="Arial" w:hAnsi="Arial" w:eastAsia="Arial" w:cs="Arial"/>
                <w:b/>
                <w:bCs/>
                <w:color w:val="C00000"/>
                <w:sz w:val="26"/>
                <w:szCs w:val="26"/>
              </w:rPr>
            </w:pPr>
            <w:r>
              <w:rPr>
                <w:rFonts w:eastAsia="Arial" w:cs="Arial"/>
                <w:b/>
                <w:bCs/>
                <w:color w:val="C00000"/>
                <w:sz w:val="26"/>
                <w:szCs w:val="26"/>
              </w:rPr>
              <w:t>"I'm working on this now."</w:t>
            </w:r>
          </w:p>
          <w:p>
            <w:pPr>
              <w:pStyle w:val="Normal"/>
              <w:bidi w:val="0"/>
              <w:spacing w:lineRule="auto" w:line="240" w:before="0" w:after="50"/>
              <w:jc w:val="left"/>
              <w:rPr/>
            </w:pPr>
            <w:r>
              <w:rPr/>
            </w:r>
          </w:p>
          <w:p>
            <w:pPr>
              <w:pStyle w:val="Normal"/>
              <w:bidi w:val="0"/>
              <w:spacing w:lineRule="auto" w:line="240" w:before="0" w:after="50"/>
              <w:jc w:val="left"/>
              <w:rPr>
                <w:rFonts w:ascii="Arial" w:hAnsi="Arial" w:eastAsia="Arial" w:cs="Arial"/>
                <w:b w:val="false"/>
                <w:bCs w:val="false"/>
                <w:color w:val="1A1A1A"/>
                <w:sz w:val="18"/>
                <w:szCs w:val="18"/>
              </w:rPr>
            </w:pPr>
            <w:r>
              <w:rPr>
                <w:rFonts w:eastAsia="Arial" w:cs="Arial"/>
                <w:b w:val="false"/>
                <w:bCs w:val="false"/>
                <w:color w:val="1A1A1A"/>
                <w:sz w:val="18"/>
                <w:szCs w:val="18"/>
              </w:rPr>
              <w:t>"Thank you"</w:t>
            </w:r>
          </w:p>
          <w:p>
            <w:pPr>
              <w:pStyle w:val="Normal"/>
              <w:bidi w:val="0"/>
              <w:spacing w:lineRule="auto" w:line="240" w:before="0" w:after="50"/>
              <w:jc w:val="left"/>
              <w:rPr>
                <w:rFonts w:ascii="Arial" w:hAnsi="Arial" w:eastAsia="Arial" w:cs="Arial"/>
                <w:b w:val="false"/>
                <w:bCs w:val="false"/>
                <w:color w:val="595959"/>
                <w:sz w:val="17"/>
                <w:szCs w:val="17"/>
              </w:rPr>
            </w:pPr>
            <w:r>
              <w:rPr>
                <w:rFonts w:eastAsia="Arial" w:cs="Arial"/>
                <w:b w:val="false"/>
                <w:bCs w:val="false"/>
                <w:color w:val="595959"/>
                <w:sz w:val="17"/>
                <w:szCs w:val="17"/>
              </w:rPr>
              <w:t xml:space="preserve">— </w:t>
            </w:r>
            <w:r>
              <w:rPr>
                <w:rFonts w:eastAsia="Arial" w:cs="Arial"/>
                <w:b w:val="false"/>
                <w:bCs w:val="false"/>
                <w:color w:val="595959"/>
                <w:sz w:val="17"/>
                <w:szCs w:val="17"/>
              </w:rPr>
              <w:t>Steve Safavi, Mr. Cooper</w:t>
            </w:r>
          </w:p>
        </w:tc>
      </w:tr>
    </w:tbl>
    <w:p>
      <w:pPr>
        <w:pStyle w:val="Normal"/>
        <w:bidi w:val="0"/>
        <w:spacing w:lineRule="auto" w:line="240" w:before="0" w:after="0"/>
        <w:jc w:val="left"/>
        <w:rPr/>
      </w:pPr>
      <w:r>
        <w:rPr/>
      </w:r>
    </w:p>
    <w:p>
      <w:pPr>
        <w:pStyle w:val="Heading2"/>
        <w:spacing w:lineRule="auto" w:line="240" w:before="240" w:after="100"/>
        <w:rPr>
          <w:rFonts w:ascii="Arial" w:hAnsi="Arial" w:eastAsia="Arial" w:cs="Arial"/>
          <w:b/>
          <w:bCs/>
          <w:color w:val="1F3864"/>
          <w:sz w:val="26"/>
          <w:szCs w:val="26"/>
        </w:rPr>
      </w:pPr>
      <w:r>
        <w:rPr>
          <w:rFonts w:eastAsia="Arial" w:cs="Arial"/>
          <w:b/>
          <w:bCs/>
          <w:color w:val="1F3864"/>
          <w:sz w:val="26"/>
          <w:szCs w:val="26"/>
        </w:rPr>
        <w:t>What This Chain Establishes</w:t>
      </w:r>
    </w:p>
    <w:tbl>
      <w:tblPr>
        <w:tblW w:w="9360" w:type="dxa"/>
        <w:jc w:val="left"/>
        <w:tblInd w:w="-5" w:type="dxa"/>
        <w:tblLayout w:type="fixed"/>
        <w:tblCellMar>
          <w:top w:w="80" w:type="dxa"/>
          <w:left w:w="140" w:type="dxa"/>
          <w:bottom w:w="80" w:type="dxa"/>
          <w:right w:w="140" w:type="dxa"/>
        </w:tblCellMar>
      </w:tblPr>
      <w:tblGrid>
        <w:gridCol w:w="2880"/>
        <w:gridCol w:w="6480"/>
      </w:tblGrid>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b/>
                <w:i w:val="0"/>
                <w:color w:val="1A1A1A"/>
                <w:sz w:val="17"/>
              </w:rPr>
              <w:t>Fraud-related basis communicated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b w:val="0"/>
                <w:i w:val="0"/>
                <w:color w:val="1A1A1A"/>
                <w:sz w:val="18"/>
              </w:rPr>
              <w:t>The correspondence records that the request was described as fraud-related; it does not establish a completed investigation or final finding.</w:t>
            </w:r>
          </w:p>
        </w:tc>
      </w:tr>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Safavi's Internal Action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rFonts w:eastAsia="Arial" w:cs="Arial"/>
                <w:b w:val="false"/>
                <w:bCs w:val="false"/>
                <w:i w:val="false"/>
                <w:iCs w:val="false"/>
                <w:color w:val="1A1A1A"/>
                <w:sz w:val="18"/>
                <w:szCs w:val="18"/>
              </w:rPr>
              <w:t>September 8, 2022: 'I have made the request internally' — Safavi formally submitted the forbearance request at Mr. Cooper</w:t>
            </w:r>
          </w:p>
        </w:tc>
      </w:tr>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Active Processing</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rFonts w:eastAsia="Arial" w:cs="Arial"/>
                <w:b w:val="false"/>
                <w:bCs w:val="false"/>
                <w:i w:val="false"/>
                <w:iCs w:val="false"/>
                <w:color w:val="1A1A1A"/>
                <w:sz w:val="18"/>
                <w:szCs w:val="18"/>
              </w:rPr>
              <w:t>September 9, 2022: 'I'm working on this now' — Safavi was actively processing the matter</w:t>
            </w:r>
          </w:p>
        </w:tc>
      </w:tr>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'Do Not Disrupt'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b w:val="0"/>
                <w:i w:val="0"/>
                <w:color w:val="1A1A1A"/>
                <w:sz w:val="18"/>
              </w:rPr>
              <w:t>The representative reportedly wished to avoid disrupting another account-related process; the correspondence does not identify that process.</w:t>
            </w:r>
          </w:p>
        </w:tc>
      </w:tr>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Humanitarian Basis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rFonts w:eastAsia="Arial" w:cs="Arial"/>
                <w:b w:val="false"/>
                <w:bCs w:val="false"/>
                <w:i w:val="false"/>
                <w:iCs w:val="false"/>
                <w:color w:val="1A1A1A"/>
                <w:sz w:val="18"/>
                <w:szCs w:val="18"/>
              </w:rPr>
              <w:t>Rouena cannot afford food or diabetic medication if she makes her mortgage payment — establishing the severity of the harm and the urgency of forbearance</w:t>
            </w:r>
          </w:p>
        </w:tc>
      </w:tr>
      <w:tr>
        <w:trPr/>
        <w:tc>
          <w:tcPr>
            <w:tcW w:w="2880" w:type="dxa"/>
            <w:tcBorders>
              <w:top w:val="single" w:sz="4" w:space="0" w:color="AAAAAA"/>
              <w:left w:val="single" w:sz="4" w:space="0" w:color="AAAAAA"/>
              <w:bottom w:val="single" w:sz="4" w:space="0" w:color="AAAAAA"/>
              <w:right w:val="single" w:sz="4" w:space="0" w:color="AAAAAA"/>
            </w:tcBorders>
            <w:shd w:fill="F2F2F2" w:val="clear"/>
          </w:tcPr>
          <w:p>
            <w:pPr>
              <w:pStyle w:val="Normal"/>
              <w:bidi w:val="0"/>
              <w:spacing w:lineRule="auto" w:line="240" w:before="0" w:after="0"/>
              <w:jc w:val="left"/>
              <w:rPr>
                <w:rFonts w:ascii="Arial" w:hAnsi="Arial" w:eastAsia="Arial" w:cs="Arial"/>
                <w:b/>
                <w:bCs/>
                <w:i w:val="false"/>
                <w:i w:val="false"/>
                <w:iCs w:val="false"/>
                <w:color w:val="1A1A1A"/>
                <w:sz w:val="17"/>
                <w:szCs w:val="17"/>
              </w:rPr>
            </w:pPr>
            <w:r>
              <w:rPr>
                <w:rFonts w:eastAsia="Arial" w:cs="Arial"/>
                <w:b/>
                <w:bCs/>
                <w:i w:val="false"/>
                <w:iCs w:val="false"/>
                <w:color w:val="1A1A1A"/>
                <w:sz w:val="17"/>
                <w:szCs w:val="17"/>
              </w:rPr>
              <w:t>Physical Documents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8"/>
                <w:szCs w:val="18"/>
              </w:rPr>
            </w:pPr>
            <w:r>
              <w:rPr>
                <w:b w:val="0"/>
                <w:i w:val="0"/>
                <w:color w:val="1A1A1A"/>
                <w:sz w:val="18"/>
              </w:rPr>
              <w:t>Forbearance documentation should be added if located; the current correspondence is the available source record.</w:t>
            </w:r>
          </w:p>
        </w:tc>
      </w:tr>
    </w:tbl>
    <w:p>
      <w:pPr>
        <w:pStyle w:val="Normal"/>
        <w:bidi w:val="0"/>
        <w:jc w:val="left"/>
        <w:rPr/>
      </w:pPr>
      <w:r>
        <w:rPr/>
      </w:r>
      <w:r>
        <w:br w:type="page"/>
      </w:r>
    </w:p>
    <w:tbl>
      <w:tblPr>
        <w:tblW w:w="9360" w:type="dxa"/>
        <w:jc w:val="left"/>
        <w:tblInd w:w="-5" w:type="dxa"/>
        <w:tblLayout w:type="fixed"/>
        <w:tblCellMar>
          <w:top w:w="120" w:type="dxa"/>
          <w:left w:w="120" w:type="dxa"/>
          <w:bottom w:w="120" w:type="dxa"/>
          <w:right w:w="120" w:type="dxa"/>
        </w:tblCellMar>
      </w:tblPr>
      <w:tblGrid>
        <w:gridCol w:w="1439"/>
        <w:gridCol w:w="7921"/>
      </w:tblGrid>
      <w:tr>
        <w:trPr/>
        <w:tc>
          <w:tcPr>
            <w:tcW w:w="1439"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bidi w:val="0"/>
              <w:jc w:val="center"/>
              <w:rPr>
                <w:rFonts w:ascii="Arial" w:hAnsi="Arial" w:eastAsia="Arial" w:cs="Arial"/>
                <w:b/>
                <w:bCs/>
                <w:color w:val="FFFFFF"/>
                <w:sz w:val="16"/>
                <w:szCs w:val="16"/>
              </w:rPr>
            </w:pPr>
            <w:r>
              <w:rPr>
                <w:rFonts w:eastAsia="Arial" w:cs="Arial"/>
                <w:b/>
                <w:bCs/>
                <w:color w:val="FFFFFF"/>
                <w:sz w:val="16"/>
                <w:szCs w:val="16"/>
              </w:rPr>
              <w:t>SUPP</w:t>
            </w:r>
          </w:p>
          <w:p>
            <w:pPr>
              <w:pStyle w:val="Normal"/>
              <w:bidi w:val="0"/>
              <w:jc w:val="center"/>
              <w:rPr>
                <w:rFonts w:ascii="Arial" w:hAnsi="Arial" w:eastAsia="Arial" w:cs="Arial"/>
                <w:b/>
                <w:bCs/>
                <w:color w:val="FFFFFF"/>
                <w:sz w:val="32"/>
                <w:szCs w:val="32"/>
              </w:rPr>
            </w:pPr>
            <w:r>
              <w:rPr>
                <w:rFonts w:eastAsia="Arial" w:cs="Arial"/>
                <w:b/>
                <w:bCs/>
                <w:color w:val="FFFFFF"/>
                <w:sz w:val="32"/>
                <w:szCs w:val="32"/>
              </w:rPr>
              <w:t>EX-B</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bidi w:val="0"/>
              <w:jc w:val="left"/>
              <w:rPr>
                <w:rFonts w:ascii="Arial" w:hAnsi="Arial" w:eastAsia="Arial" w:cs="Arial"/>
                <w:b/>
                <w:bCs/>
                <w:color w:val="1F3864"/>
                <w:sz w:val="24"/>
                <w:szCs w:val="24"/>
              </w:rPr>
            </w:pPr>
            <w:r>
              <w:rPr>
                <w:b/>
                <w:color w:val="1F3864"/>
                <w:sz w:val="24"/>
              </w:rPr>
              <w:t>Proton Account-Event Export and IP Comparison Analysis</w:t>
            </w:r>
          </w:p>
        </w:tc>
      </w:tr>
      <w:tr>
        <w:trPr/>
        <w:tc>
          <w:tcPr>
            <w:tcW w:w="1439"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bidi w:val="0"/>
              <w:jc w:val="left"/>
              <w:rPr/>
            </w:pPr>
            <w:r>
              <w:rPr>
                <w:rFonts w:eastAsia="Arial" w:cs="Arial"/>
                <w:b/>
                <w:bCs/>
                <w:color w:val="1A1A1A"/>
                <w:sz w:val="18"/>
                <w:szCs w:val="18"/>
              </w:rPr>
              <w:t xml:space="preserve">Date: </w:t>
            </w:r>
            <w:r>
              <w:rPr>
                <w:rFonts w:eastAsia="Arial" w:cs="Arial"/>
                <w:color w:val="1A1A1A"/>
                <w:sz w:val="18"/>
                <w:szCs w:val="18"/>
              </w:rPr>
              <w:t xml:space="preserve">February 2021 through May 2022 (full log) — CSV exported from Proton AG account   </w:t>
            </w:r>
            <w:r>
              <w:rPr>
                <w:rFonts w:eastAsia="Arial" w:cs="Arial"/>
                <w:b/>
                <w:bCs/>
                <w:color w:val="1A1A1A"/>
                <w:sz w:val="18"/>
                <w:szCs w:val="18"/>
              </w:rPr>
              <w:t xml:space="preserve">Parties: </w:t>
            </w:r>
            <w:r>
              <w:rPr>
                <w:rFonts w:eastAsia="Arial" w:cs="Arial"/>
                <w:color w:val="1A1A1A"/>
                <w:sz w:val="18"/>
                <w:szCs w:val="18"/>
              </w:rPr>
              <w:t>Shannon L. Truitt / Proton AG (Swiss-based privacy provider)</w:t>
            </w:r>
          </w:p>
        </w:tc>
      </w:tr>
      <w:tr>
        <w:trPr/>
        <w:tc>
          <w:tcPr>
            <w:tcW w:w="9360"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bidi w:val="0"/>
              <w:jc w:val="left"/>
              <w:rPr/>
            </w:pPr>
            <w:r>
              <w:rPr>
                <w:b/>
                <w:color w:val="C00000"/>
                <w:sz w:val="18"/>
              </w:rPr>
              <w:t>WHAT THE RECORD SHOWS: The CSV was exported from Shannon Truitt's Proton account and records the account events appearing in that export. The disputed IP addresses do not appear in the available account-event data during the identified signing periods. The export assists comparison with Dotloop records but does not, standing alone, certify Shannon's physical location, identify a signer, or attribute an IP address to a particular person or device.</w:t>
            </w:r>
          </w:p>
        </w:tc>
      </w:tr>
    </w:tbl>
    <w:p>
      <w:pPr>
        <w:pStyle w:val="Normal"/>
        <w:bidi w:val="0"/>
        <w:spacing w:lineRule="auto" w:line="240" w:before="0" w:after="0"/>
        <w:jc w:val="left"/>
        <w:rPr/>
      </w:pPr>
      <w:r>
        <w:rPr/>
      </w:r>
    </w:p>
    <w:p>
      <w:pPr>
        <w:pStyle w:val="Heading2"/>
        <w:spacing w:lineRule="auto" w:line="240" w:before="240" w:after="100"/>
        <w:rPr>
          <w:rFonts w:ascii="Arial" w:hAnsi="Arial" w:eastAsia="Arial" w:cs="Arial"/>
          <w:b/>
          <w:bCs/>
          <w:color w:val="1F3864"/>
          <w:sz w:val="26"/>
          <w:szCs w:val="26"/>
        </w:rPr>
      </w:pPr>
      <w:r>
        <w:rPr>
          <w:rFonts w:eastAsia="Arial" w:cs="Arial"/>
          <w:b/>
          <w:bCs/>
          <w:color w:val="1F3864"/>
          <w:sz w:val="26"/>
          <w:szCs w:val="26"/>
        </w:rPr>
        <w:t>About the ProtonVPN Log</w:t>
      </w:r>
    </w:p>
    <w:p>
      <w:pPr>
        <w:pStyle w:val="Normal"/>
        <w:bidi w:val="0"/>
        <w:spacing w:lineRule="auto" w:line="240" w:before="0" w:after="80"/>
        <w:jc w:val="left"/>
        <w:rPr>
          <w:rFonts w:ascii="Arial" w:hAnsi="Arial" w:eastAsia="Arial" w:cs="Arial"/>
          <w:b w:val="false"/>
          <w:bCs w:val="false"/>
          <w:i w:val="false"/>
          <w:i w:val="false"/>
          <w:iCs w:val="false"/>
          <w:color w:val="1A1A1A"/>
          <w:sz w:val="20"/>
          <w:szCs w:val="20"/>
        </w:rPr>
      </w:pPr>
      <w:r>
        <w:rPr>
          <w:b w:val="0"/>
          <w:i w:val="0"/>
          <w:color w:val="1A1A1A"/>
          <w:sz w:val="20"/>
        </w:rPr>
        <w:t>Proton is a Swiss-based privacy provider. The enclosed CSV was exported from Shannon Truitt's account security interface. It should be described as an account-event export maintained in the private archive. Unless Proton supplies a custodian declaration or certification, the export should not be characterized as certified, tamper-evident, or a complete record of every possible network event.</w:t>
      </w:r>
    </w:p>
    <w:p>
      <w:pPr>
        <w:pStyle w:val="Normal"/>
        <w:bidi w:val="0"/>
        <w:spacing w:lineRule="auto" w:line="240" w:before="0" w:after="120"/>
        <w:jc w:val="left"/>
        <w:rPr>
          <w:rFonts w:ascii="Arial" w:hAnsi="Arial" w:eastAsia="Arial" w:cs="Arial"/>
          <w:b w:val="false"/>
          <w:bCs w:val="false"/>
          <w:i w:val="false"/>
          <w:i w:val="false"/>
          <w:iCs w:val="false"/>
          <w:color w:val="1A1A1A"/>
          <w:sz w:val="20"/>
          <w:szCs w:val="20"/>
        </w:rPr>
      </w:pPr>
      <w:r>
        <w:rPr>
          <w:b w:val="0"/>
          <w:i w:val="0"/>
          <w:color w:val="1A1A1A"/>
          <w:sz w:val="20"/>
        </w:rPr>
        <w:t>The available export begins February 16, 2021 and includes events through the mortgage period. The file should be submitted in its native CSV form together with its acquisition date, file hash, and a plain-language data dictionary.</w:t>
      </w:r>
    </w:p>
    <w:p>
      <w:pPr>
        <w:pStyle w:val="Heading2"/>
        <w:spacing w:lineRule="auto" w:line="240" w:before="240" w:after="100"/>
        <w:rPr>
          <w:rFonts w:ascii="Arial" w:hAnsi="Arial" w:eastAsia="Arial" w:cs="Arial"/>
          <w:b/>
          <w:bCs/>
          <w:color w:val="1F3864"/>
          <w:sz w:val="26"/>
          <w:szCs w:val="26"/>
        </w:rPr>
      </w:pPr>
      <w:r>
        <w:rPr>
          <w:b/>
          <w:color w:val="1F3864"/>
          <w:sz w:val="26"/>
        </w:rPr>
        <w:t>IP Addresses Appearing in Shannon's Account-Event Export</w:t>
      </w:r>
    </w:p>
    <w:tbl>
      <w:tblPr>
        <w:tblW w:w="9360" w:type="dxa"/>
        <w:jc w:val="left"/>
        <w:tblInd w:w="-5" w:type="dxa"/>
        <w:tblLayout w:type="fixed"/>
        <w:tblCellMar>
          <w:top w:w="80" w:type="dxa"/>
          <w:left w:w="140" w:type="dxa"/>
          <w:bottom w:w="80" w:type="dxa"/>
          <w:right w:w="140" w:type="dxa"/>
        </w:tblCellMar>
      </w:tblPr>
      <w:tblGrid>
        <w:gridCol w:w="2200"/>
        <w:gridCol w:w="2201"/>
        <w:gridCol w:w="2359"/>
        <w:gridCol w:w="2600"/>
      </w:tblGrid>
      <w:tr>
        <w:trPr>
          <w:tblHeader w:val="true"/>
        </w:trPr>
        <w:tc>
          <w:tcPr>
            <w:tcW w:w="2200" w:type="dxa"/>
            <w:tcBorders>
              <w:top w:val="single" w:sz="4" w:space="0" w:color="1F3864"/>
              <w:left w:val="single" w:sz="4" w:space="0" w:color="1F3864"/>
              <w:bottom w:val="single" w:sz="4" w:space="0" w:color="1F3864"/>
              <w:right w:val="single" w:sz="4" w:space="0" w:color="1F3864"/>
            </w:tcBorders>
            <w:shd w:fill="1F3864" w:val="clear"/>
          </w:tcPr>
          <w:p>
            <w:pPr>
              <w:pStyle w:val="Normal"/>
              <w:bidi w:val="0"/>
              <w:spacing w:lineRule="auto" w:line="240" w:before="0" w:after="0"/>
              <w:jc w:val="left"/>
              <w:rPr>
                <w:rFonts w:ascii="Arial" w:hAnsi="Arial" w:eastAsia="Arial" w:cs="Arial"/>
                <w:b/>
                <w:bCs/>
                <w:i w:val="false"/>
                <w:i w:val="false"/>
                <w:iCs w:val="false"/>
                <w:color w:val="FFFFFF"/>
                <w:sz w:val="18"/>
                <w:szCs w:val="18"/>
              </w:rPr>
            </w:pPr>
            <w:r>
              <w:rPr>
                <w:rFonts w:eastAsia="Arial" w:cs="Arial"/>
                <w:b/>
                <w:bCs/>
                <w:i w:val="false"/>
                <w:iCs w:val="false"/>
                <w:color w:val="FFFFFF"/>
                <w:sz w:val="18"/>
                <w:szCs w:val="18"/>
              </w:rPr>
              <w:t>DATE</w:t>
            </w:r>
          </w:p>
        </w:tc>
        <w:tc>
          <w:tcPr>
            <w:tcW w:w="2201" w:type="dxa"/>
            <w:tcBorders>
              <w:top w:val="single" w:sz="4" w:space="0" w:color="1F3864"/>
              <w:left w:val="single" w:sz="4" w:space="0" w:color="1F3864"/>
              <w:bottom w:val="single" w:sz="4" w:space="0" w:color="1F3864"/>
              <w:right w:val="single" w:sz="4" w:space="0" w:color="1F3864"/>
            </w:tcBorders>
            <w:shd w:fill="1F3864" w:val="clear"/>
          </w:tcPr>
          <w:p>
            <w:pPr>
              <w:pStyle w:val="Normal"/>
              <w:bidi w:val="0"/>
              <w:spacing w:lineRule="auto" w:line="240" w:before="0" w:after="0"/>
              <w:jc w:val="left"/>
              <w:rPr>
                <w:rFonts w:ascii="Arial" w:hAnsi="Arial" w:eastAsia="Arial" w:cs="Arial"/>
                <w:b/>
                <w:bCs/>
                <w:i w:val="false"/>
                <w:i w:val="false"/>
                <w:iCs w:val="false"/>
                <w:color w:val="FFFFFF"/>
                <w:sz w:val="18"/>
                <w:szCs w:val="18"/>
              </w:rPr>
            </w:pPr>
            <w:r>
              <w:rPr>
                <w:rFonts w:eastAsia="Arial" w:cs="Arial"/>
                <w:b/>
                <w:bCs/>
                <w:i w:val="false"/>
                <w:iCs w:val="false"/>
                <w:color w:val="FFFFFF"/>
                <w:sz w:val="18"/>
                <w:szCs w:val="18"/>
              </w:rPr>
              <w:t>TIME (EDT)</w:t>
            </w:r>
          </w:p>
        </w:tc>
        <w:tc>
          <w:tcPr>
            <w:tcW w:w="2359" w:type="dxa"/>
            <w:tcBorders>
              <w:top w:val="single" w:sz="4" w:space="0" w:color="1F3864"/>
              <w:left w:val="single" w:sz="4" w:space="0" w:color="1F3864"/>
              <w:bottom w:val="single" w:sz="4" w:space="0" w:color="1F3864"/>
              <w:right w:val="single" w:sz="4" w:space="0" w:color="1F3864"/>
            </w:tcBorders>
            <w:shd w:fill="1F3864" w:val="clear"/>
          </w:tcPr>
          <w:p>
            <w:pPr>
              <w:pStyle w:val="Normal"/>
              <w:bidi w:val="0"/>
              <w:spacing w:lineRule="auto" w:line="240" w:before="0" w:after="0"/>
              <w:jc w:val="left"/>
              <w:rPr>
                <w:rFonts w:ascii="Arial" w:hAnsi="Arial" w:eastAsia="Arial" w:cs="Arial"/>
                <w:b/>
                <w:bCs/>
                <w:i w:val="false"/>
                <w:i w:val="false"/>
                <w:iCs w:val="false"/>
                <w:color w:val="FFFFFF"/>
                <w:sz w:val="18"/>
                <w:szCs w:val="18"/>
              </w:rPr>
            </w:pPr>
            <w:r>
              <w:rPr>
                <w:b/>
                <w:i w:val="0"/>
                <w:color w:val="FFFFFF"/>
                <w:sz w:val="18"/>
              </w:rPr>
              <w:t>IP IN ACCOUNT EXPORT</w:t>
            </w:r>
          </w:p>
        </w:tc>
        <w:tc>
          <w:tcPr>
            <w:tcW w:w="2600" w:type="dxa"/>
            <w:tcBorders>
              <w:top w:val="single" w:sz="4" w:space="0" w:color="1F3864"/>
              <w:left w:val="single" w:sz="4" w:space="0" w:color="1F3864"/>
              <w:bottom w:val="single" w:sz="4" w:space="0" w:color="1F3864"/>
              <w:right w:val="single" w:sz="4" w:space="0" w:color="1F3864"/>
            </w:tcBorders>
            <w:shd w:fill="1F3864" w:val="clear"/>
          </w:tcPr>
          <w:p>
            <w:pPr>
              <w:pStyle w:val="Normal"/>
              <w:bidi w:val="0"/>
              <w:spacing w:lineRule="auto" w:line="240" w:before="0" w:after="0"/>
              <w:jc w:val="left"/>
              <w:rPr>
                <w:rFonts w:ascii="Arial" w:hAnsi="Arial" w:eastAsia="Arial" w:cs="Arial"/>
                <w:b/>
                <w:bCs/>
                <w:i w:val="false"/>
                <w:i w:val="false"/>
                <w:iCs w:val="false"/>
                <w:color w:val="FFFFFF"/>
                <w:sz w:val="18"/>
                <w:szCs w:val="18"/>
              </w:rPr>
            </w:pPr>
            <w:r>
              <w:rPr>
                <w:rFonts w:eastAsia="Arial" w:cs="Arial"/>
                <w:b/>
                <w:bCs/>
                <w:i w:val="false"/>
                <w:iCs w:val="false"/>
                <w:color w:val="FFFFFF"/>
                <w:sz w:val="18"/>
                <w:szCs w:val="18"/>
              </w:rPr>
              <w:t>NOTE</w:t>
            </w:r>
          </w:p>
        </w:tc>
      </w:tr>
      <w:tr>
        <w:trPr/>
        <w:tc>
          <w:tcPr>
            <w:tcW w:w="2200"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March 21, 2022</w:t>
            </w:r>
          </w:p>
        </w:tc>
        <w:tc>
          <w:tcPr>
            <w:tcW w:w="2201"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12:20–12:47 PM</w:t>
            </w:r>
          </w:p>
        </w:tc>
        <w:tc>
          <w:tcPr>
            <w:tcW w:w="2359"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bCs/>
                <w:i w:val="false"/>
                <w:i w:val="false"/>
                <w:iCs w:val="false"/>
                <w:color w:val="375623"/>
                <w:sz w:val="17"/>
                <w:szCs w:val="17"/>
              </w:rPr>
            </w:pPr>
            <w:r>
              <w:rPr>
                <w:rFonts w:eastAsia="Arial" w:cs="Arial"/>
                <w:b/>
                <w:bCs/>
                <w:i w:val="false"/>
                <w:iCs w:val="false"/>
                <w:color w:val="375623"/>
                <w:sz w:val="17"/>
                <w:szCs w:val="17"/>
              </w:rPr>
              <w:t>146.70.72.135</w:t>
            </w:r>
          </w:p>
        </w:tc>
        <w:tc>
          <w:tcPr>
            <w:tcW w:w="260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6"/>
                <w:szCs w:val="16"/>
              </w:rPr>
            </w:pPr>
            <w:r>
              <w:rPr>
                <w:rFonts w:eastAsia="Arial" w:cs="Arial"/>
                <w:b w:val="false"/>
                <w:bCs w:val="false"/>
                <w:i w:val="false"/>
                <w:iCs w:val="false"/>
                <w:color w:val="1A1A1A"/>
                <w:sz w:val="16"/>
                <w:szCs w:val="16"/>
              </w:rPr>
              <w:t>Shannon's IP during signing period</w:t>
            </w:r>
          </w:p>
        </w:tc>
      </w:tr>
      <w:tr>
        <w:trPr/>
        <w:tc>
          <w:tcPr>
            <w:tcW w:w="2200"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April 8, 2022</w:t>
            </w:r>
          </w:p>
        </w:tc>
        <w:tc>
          <w:tcPr>
            <w:tcW w:w="2201"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2:39–2:50 PM</w:t>
            </w:r>
          </w:p>
        </w:tc>
        <w:tc>
          <w:tcPr>
            <w:tcW w:w="2359"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bCs/>
                <w:i w:val="false"/>
                <w:i w:val="false"/>
                <w:iCs w:val="false"/>
                <w:color w:val="375623"/>
                <w:sz w:val="17"/>
                <w:szCs w:val="17"/>
              </w:rPr>
            </w:pPr>
            <w:r>
              <w:rPr>
                <w:rFonts w:eastAsia="Arial" w:cs="Arial"/>
                <w:b/>
                <w:bCs/>
                <w:i w:val="false"/>
                <w:iCs w:val="false"/>
                <w:color w:val="375623"/>
                <w:sz w:val="17"/>
                <w:szCs w:val="17"/>
              </w:rPr>
              <w:t>67.246.2.179</w:t>
            </w:r>
          </w:p>
        </w:tc>
        <w:tc>
          <w:tcPr>
            <w:tcW w:w="260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6"/>
                <w:szCs w:val="16"/>
              </w:rPr>
            </w:pPr>
            <w:r>
              <w:rPr>
                <w:rFonts w:eastAsia="Arial" w:cs="Arial"/>
                <w:b w:val="false"/>
                <w:bCs w:val="false"/>
                <w:i w:val="false"/>
                <w:iCs w:val="false"/>
                <w:color w:val="1A1A1A"/>
                <w:sz w:val="16"/>
                <w:szCs w:val="16"/>
              </w:rPr>
              <w:t>Shannon's IP during signing period</w:t>
            </w:r>
          </w:p>
        </w:tc>
      </w:tr>
      <w:tr>
        <w:trPr/>
        <w:tc>
          <w:tcPr>
            <w:tcW w:w="2200"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April 21, 2022</w:t>
            </w:r>
          </w:p>
        </w:tc>
        <w:tc>
          <w:tcPr>
            <w:tcW w:w="2201"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3:38–6:16 PM</w:t>
            </w:r>
          </w:p>
        </w:tc>
        <w:tc>
          <w:tcPr>
            <w:tcW w:w="2359"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bCs/>
                <w:i w:val="false"/>
                <w:i w:val="false"/>
                <w:iCs w:val="false"/>
                <w:color w:val="375623"/>
                <w:sz w:val="17"/>
                <w:szCs w:val="17"/>
              </w:rPr>
            </w:pPr>
            <w:r>
              <w:rPr>
                <w:rFonts w:eastAsia="Arial" w:cs="Arial"/>
                <w:b/>
                <w:bCs/>
                <w:i w:val="false"/>
                <w:iCs w:val="false"/>
                <w:color w:val="375623"/>
                <w:sz w:val="17"/>
                <w:szCs w:val="17"/>
              </w:rPr>
              <w:t>67.242.107.182</w:t>
            </w:r>
          </w:p>
        </w:tc>
        <w:tc>
          <w:tcPr>
            <w:tcW w:w="260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6"/>
                <w:szCs w:val="16"/>
              </w:rPr>
            </w:pPr>
            <w:r>
              <w:rPr>
                <w:b w:val="0"/>
                <w:i w:val="0"/>
                <w:color w:val="1A1A1A"/>
                <w:sz w:val="16"/>
              </w:rPr>
              <w:t>Account event on the day before the April 22 disputed signing records</w:t>
            </w:r>
          </w:p>
        </w:tc>
      </w:tr>
      <w:tr>
        <w:trPr/>
        <w:tc>
          <w:tcPr>
            <w:tcW w:w="2200"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April 24, 2022</w:t>
            </w:r>
          </w:p>
        </w:tc>
        <w:tc>
          <w:tcPr>
            <w:tcW w:w="2201"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9:13 AM</w:t>
            </w:r>
          </w:p>
        </w:tc>
        <w:tc>
          <w:tcPr>
            <w:tcW w:w="2359"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bCs/>
                <w:i w:val="false"/>
                <w:i w:val="false"/>
                <w:iCs w:val="false"/>
                <w:color w:val="375623"/>
                <w:sz w:val="17"/>
                <w:szCs w:val="17"/>
              </w:rPr>
            </w:pPr>
            <w:r>
              <w:rPr>
                <w:rFonts w:eastAsia="Arial" w:cs="Arial"/>
                <w:b/>
                <w:bCs/>
                <w:i w:val="false"/>
                <w:iCs w:val="false"/>
                <w:color w:val="375623"/>
                <w:sz w:val="17"/>
                <w:szCs w:val="17"/>
              </w:rPr>
              <w:t>67.242.107.182</w:t>
            </w:r>
          </w:p>
        </w:tc>
        <w:tc>
          <w:tcPr>
            <w:tcW w:w="260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6"/>
                <w:szCs w:val="16"/>
              </w:rPr>
            </w:pPr>
            <w:r>
              <w:rPr>
                <w:rFonts w:eastAsia="Arial" w:cs="Arial"/>
                <w:b w:val="false"/>
                <w:bCs w:val="false"/>
                <w:i w:val="false"/>
                <w:iCs w:val="false"/>
                <w:color w:val="1A1A1A"/>
                <w:sz w:val="16"/>
                <w:szCs w:val="16"/>
              </w:rPr>
              <w:t>Shannon's IP day of Apr 22 carry-over</w:t>
            </w:r>
          </w:p>
        </w:tc>
      </w:tr>
      <w:tr>
        <w:trPr/>
        <w:tc>
          <w:tcPr>
            <w:tcW w:w="2200"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April 27, 2022</w:t>
            </w:r>
          </w:p>
        </w:tc>
        <w:tc>
          <w:tcPr>
            <w:tcW w:w="2201"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6:07–6:50 AM</w:t>
            </w:r>
          </w:p>
        </w:tc>
        <w:tc>
          <w:tcPr>
            <w:tcW w:w="2359"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bCs/>
                <w:i w:val="false"/>
                <w:i w:val="false"/>
                <w:iCs w:val="false"/>
                <w:color w:val="375623"/>
                <w:sz w:val="17"/>
                <w:szCs w:val="17"/>
              </w:rPr>
            </w:pPr>
            <w:r>
              <w:rPr>
                <w:rFonts w:eastAsia="Arial" w:cs="Arial"/>
                <w:b/>
                <w:bCs/>
                <w:i w:val="false"/>
                <w:iCs w:val="false"/>
                <w:color w:val="375623"/>
                <w:sz w:val="17"/>
                <w:szCs w:val="17"/>
              </w:rPr>
              <w:t>89.187.171.243</w:t>
            </w:r>
          </w:p>
        </w:tc>
        <w:tc>
          <w:tcPr>
            <w:tcW w:w="260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6"/>
                <w:szCs w:val="16"/>
              </w:rPr>
            </w:pPr>
            <w:r>
              <w:rPr>
                <w:rFonts w:eastAsia="Arial" w:cs="Arial"/>
                <w:b w:val="false"/>
                <w:bCs w:val="false"/>
                <w:i w:val="false"/>
                <w:iCs w:val="false"/>
                <w:color w:val="1A1A1A"/>
                <w:sz w:val="16"/>
                <w:szCs w:val="16"/>
              </w:rPr>
              <w:t>89.187.171.243</w:t>
            </w:r>
          </w:p>
        </w:tc>
      </w:tr>
      <w:tr>
        <w:trPr/>
        <w:tc>
          <w:tcPr>
            <w:tcW w:w="2200"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April 28, 2022</w:t>
            </w:r>
          </w:p>
        </w:tc>
        <w:tc>
          <w:tcPr>
            <w:tcW w:w="2201"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5:32 AM–10:20 AM</w:t>
            </w:r>
          </w:p>
        </w:tc>
        <w:tc>
          <w:tcPr>
            <w:tcW w:w="2359"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bCs/>
                <w:i w:val="false"/>
                <w:i w:val="false"/>
                <w:iCs w:val="false"/>
                <w:color w:val="375623"/>
                <w:sz w:val="17"/>
                <w:szCs w:val="17"/>
              </w:rPr>
            </w:pPr>
            <w:r>
              <w:rPr>
                <w:rFonts w:eastAsia="Arial" w:cs="Arial"/>
                <w:b/>
                <w:bCs/>
                <w:i w:val="false"/>
                <w:iCs w:val="false"/>
                <w:color w:val="375623"/>
                <w:sz w:val="17"/>
                <w:szCs w:val="17"/>
              </w:rPr>
              <w:t>193.148.18.86</w:t>
            </w:r>
          </w:p>
        </w:tc>
        <w:tc>
          <w:tcPr>
            <w:tcW w:w="260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6"/>
                <w:szCs w:val="16"/>
              </w:rPr>
            </w:pPr>
            <w:r>
              <w:rPr>
                <w:b w:val="0"/>
                <w:i w:val="0"/>
                <w:color w:val="1A1A1A"/>
                <w:sz w:val="16"/>
              </w:rPr>
              <w:t>Account event on April 28; compare exact time with disputed signing record</w:t>
            </w:r>
          </w:p>
        </w:tc>
      </w:tr>
      <w:tr>
        <w:trPr/>
        <w:tc>
          <w:tcPr>
            <w:tcW w:w="2200"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May 3, 2022</w:t>
            </w:r>
          </w:p>
        </w:tc>
        <w:tc>
          <w:tcPr>
            <w:tcW w:w="2201"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rFonts w:eastAsia="Arial" w:cs="Arial"/>
                <w:b w:val="false"/>
                <w:bCs w:val="false"/>
                <w:i w:val="false"/>
                <w:iCs w:val="false"/>
                <w:color w:val="1A1A1A"/>
                <w:sz w:val="17"/>
                <w:szCs w:val="17"/>
              </w:rPr>
              <w:t>7:18 PM</w:t>
            </w:r>
          </w:p>
        </w:tc>
        <w:tc>
          <w:tcPr>
            <w:tcW w:w="2359" w:type="dxa"/>
            <w:tcBorders>
              <w:top w:val="single" w:sz="4" w:space="0" w:color="AAAAAA"/>
              <w:left w:val="single" w:sz="4" w:space="0" w:color="AAAAAA"/>
              <w:bottom w:val="single" w:sz="4" w:space="0" w:color="AAAAAA"/>
              <w:right w:val="single" w:sz="4" w:space="0" w:color="AAAAAA"/>
            </w:tcBorders>
            <w:shd w:fill="E2EFDA" w:val="clear"/>
          </w:tcPr>
          <w:p>
            <w:pPr>
              <w:pStyle w:val="Normal"/>
              <w:bidi w:val="0"/>
              <w:spacing w:lineRule="auto" w:line="240" w:before="0" w:after="0"/>
              <w:jc w:val="left"/>
              <w:rPr>
                <w:rFonts w:ascii="Arial" w:hAnsi="Arial" w:eastAsia="Arial" w:cs="Arial"/>
                <w:b/>
                <w:bCs/>
                <w:i w:val="false"/>
                <w:i w:val="false"/>
                <w:iCs w:val="false"/>
                <w:color w:val="375623"/>
                <w:sz w:val="17"/>
                <w:szCs w:val="17"/>
              </w:rPr>
            </w:pPr>
            <w:r>
              <w:rPr>
                <w:rFonts w:eastAsia="Arial" w:cs="Arial"/>
                <w:b/>
                <w:bCs/>
                <w:i w:val="false"/>
                <w:iCs w:val="false"/>
                <w:color w:val="375623"/>
                <w:sz w:val="17"/>
                <w:szCs w:val="17"/>
              </w:rPr>
              <w:t>89.187.180.42</w:t>
            </w:r>
          </w:p>
        </w:tc>
        <w:tc>
          <w:tcPr>
            <w:tcW w:w="260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6"/>
                <w:szCs w:val="16"/>
              </w:rPr>
            </w:pPr>
            <w:r>
              <w:rPr>
                <w:rFonts w:eastAsia="Arial" w:cs="Arial"/>
                <w:b w:val="false"/>
                <w:bCs w:val="false"/>
                <w:i w:val="false"/>
                <w:iCs w:val="false"/>
                <w:color w:val="1A1A1A"/>
                <w:sz w:val="16"/>
                <w:szCs w:val="16"/>
              </w:rPr>
              <w:t xml:space="preserve">89.187.180.42 </w:t>
            </w:r>
          </w:p>
        </w:tc>
      </w:tr>
    </w:tbl>
    <w:p>
      <w:pPr>
        <w:pStyle w:val="Normal"/>
        <w:bidi w:val="0"/>
        <w:spacing w:lineRule="auto" w:line="240" w:before="0" w:after="0"/>
        <w:jc w:val="left"/>
        <w:rPr/>
      </w:pPr>
      <w:r>
        <w:rPr/>
      </w:r>
    </w:p>
    <w:p>
      <w:pPr>
        <w:pStyle w:val="Heading2"/>
        <w:spacing w:lineRule="auto" w:line="240" w:before="240" w:after="100"/>
        <w:rPr>
          <w:rFonts w:ascii="Arial" w:hAnsi="Arial" w:eastAsia="Arial" w:cs="Arial"/>
          <w:b/>
          <w:bCs/>
          <w:color w:val="1F3864"/>
          <w:sz w:val="26"/>
          <w:szCs w:val="26"/>
        </w:rPr>
      </w:pPr>
      <w:r>
        <w:rPr>
          <w:b/>
          <w:color w:val="1F3864"/>
          <w:sz w:val="26"/>
        </w:rPr>
        <w:t>IP Addresses Not Found in the Available Account-Event Export</w:t>
      </w:r>
    </w:p>
    <w:tbl>
      <w:tblPr>
        <w:tblW w:w="9360" w:type="dxa"/>
        <w:jc w:val="left"/>
        <w:tblInd w:w="-5" w:type="dxa"/>
        <w:tblLayout w:type="fixed"/>
        <w:tblCellMar>
          <w:top w:w="80" w:type="dxa"/>
          <w:left w:w="140" w:type="dxa"/>
          <w:bottom w:w="80" w:type="dxa"/>
          <w:right w:w="140" w:type="dxa"/>
        </w:tblCellMar>
      </w:tblPr>
      <w:tblGrid>
        <w:gridCol w:w="2399"/>
        <w:gridCol w:w="2801"/>
        <w:gridCol w:w="4160"/>
      </w:tblGrid>
      <w:tr>
        <w:trPr>
          <w:tblHeader w:val="true"/>
        </w:trPr>
        <w:tc>
          <w:tcPr>
            <w:tcW w:w="2399" w:type="dxa"/>
            <w:tcBorders>
              <w:top w:val="single" w:sz="4" w:space="0" w:color="1F3864"/>
              <w:left w:val="single" w:sz="4" w:space="0" w:color="1F3864"/>
              <w:bottom w:val="single" w:sz="4" w:space="0" w:color="1F3864"/>
              <w:right w:val="single" w:sz="4" w:space="0" w:color="1F3864"/>
            </w:tcBorders>
            <w:shd w:fill="1F3864" w:val="clear"/>
          </w:tcPr>
          <w:p>
            <w:pPr>
              <w:pStyle w:val="Normal"/>
              <w:bidi w:val="0"/>
              <w:spacing w:lineRule="auto" w:line="240" w:before="0" w:after="0"/>
              <w:jc w:val="left"/>
              <w:rPr>
                <w:rFonts w:ascii="Arial" w:hAnsi="Arial" w:eastAsia="Arial" w:cs="Arial"/>
                <w:b/>
                <w:bCs/>
                <w:i w:val="false"/>
                <w:i w:val="false"/>
                <w:iCs w:val="false"/>
                <w:color w:val="FFFFFF"/>
                <w:sz w:val="18"/>
                <w:szCs w:val="18"/>
              </w:rPr>
            </w:pPr>
            <w:r>
              <w:rPr>
                <w:rFonts w:eastAsia="Arial" w:cs="Arial"/>
                <w:b/>
                <w:bCs/>
                <w:i w:val="false"/>
                <w:iCs w:val="false"/>
                <w:color w:val="FFFFFF"/>
                <w:sz w:val="18"/>
                <w:szCs w:val="18"/>
              </w:rPr>
              <w:t>IP ADDRESS</w:t>
            </w:r>
          </w:p>
        </w:tc>
        <w:tc>
          <w:tcPr>
            <w:tcW w:w="2801" w:type="dxa"/>
            <w:tcBorders>
              <w:top w:val="single" w:sz="4" w:space="0" w:color="1F3864"/>
              <w:left w:val="single" w:sz="4" w:space="0" w:color="1F3864"/>
              <w:bottom w:val="single" w:sz="4" w:space="0" w:color="1F3864"/>
              <w:right w:val="single" w:sz="4" w:space="0" w:color="1F3864"/>
            </w:tcBorders>
            <w:shd w:fill="1F3864" w:val="clear"/>
          </w:tcPr>
          <w:p>
            <w:pPr>
              <w:pStyle w:val="Normal"/>
              <w:bidi w:val="0"/>
              <w:spacing w:lineRule="auto" w:line="240" w:before="0" w:after="0"/>
              <w:jc w:val="left"/>
              <w:rPr>
                <w:rFonts w:ascii="Arial" w:hAnsi="Arial" w:eastAsia="Arial" w:cs="Arial"/>
                <w:b/>
                <w:bCs/>
                <w:i w:val="false"/>
                <w:i w:val="false"/>
                <w:iCs w:val="false"/>
                <w:color w:val="FFFFFF"/>
                <w:sz w:val="18"/>
                <w:szCs w:val="18"/>
              </w:rPr>
            </w:pPr>
            <w:r>
              <w:rPr>
                <w:b/>
                <w:i w:val="0"/>
                <w:color w:val="FFFFFF"/>
                <w:sz w:val="18"/>
              </w:rPr>
              <w:t>SOURCE ON DISPUTED DOCUMENT</w:t>
            </w:r>
          </w:p>
        </w:tc>
        <w:tc>
          <w:tcPr>
            <w:tcW w:w="4160" w:type="dxa"/>
            <w:tcBorders>
              <w:top w:val="single" w:sz="4" w:space="0" w:color="1F3864"/>
              <w:left w:val="single" w:sz="4" w:space="0" w:color="1F3864"/>
              <w:bottom w:val="single" w:sz="4" w:space="0" w:color="1F3864"/>
              <w:right w:val="single" w:sz="4" w:space="0" w:color="1F3864"/>
            </w:tcBorders>
            <w:shd w:fill="1F3864" w:val="clear"/>
          </w:tcPr>
          <w:p>
            <w:pPr>
              <w:pStyle w:val="Normal"/>
              <w:bidi w:val="0"/>
              <w:spacing w:lineRule="auto" w:line="240" w:before="0" w:after="0"/>
              <w:jc w:val="left"/>
              <w:rPr>
                <w:rFonts w:ascii="Arial" w:hAnsi="Arial" w:eastAsia="Arial" w:cs="Arial"/>
                <w:b/>
                <w:bCs/>
                <w:i w:val="false"/>
                <w:i w:val="false"/>
                <w:iCs w:val="false"/>
                <w:color w:val="FFFFFF"/>
                <w:sz w:val="18"/>
                <w:szCs w:val="18"/>
              </w:rPr>
            </w:pPr>
            <w:r>
              <w:rPr>
                <w:b/>
                <w:i w:val="0"/>
                <w:color w:val="FFFFFF"/>
                <w:sz w:val="18"/>
              </w:rPr>
              <w:t>SIGNIFICANCE / LIMITATION</w:t>
            </w:r>
          </w:p>
        </w:tc>
      </w:tr>
      <w:tr>
        <w:trPr/>
        <w:tc>
          <w:tcPr>
            <w:tcW w:w="2399" w:type="dxa"/>
            <w:tcBorders>
              <w:top w:val="single" w:sz="4" w:space="0" w:color="AAAAAA"/>
              <w:left w:val="single" w:sz="4" w:space="0" w:color="AAAAAA"/>
              <w:bottom w:val="single" w:sz="4" w:space="0" w:color="AAAAAA"/>
              <w:right w:val="single" w:sz="4" w:space="0" w:color="AAAAAA"/>
            </w:tcBorders>
            <w:shd w:fill="FCE4E4" w:val="clear"/>
          </w:tcPr>
          <w:p>
            <w:pPr>
              <w:pStyle w:val="Normal"/>
              <w:bidi w:val="0"/>
              <w:spacing w:lineRule="auto" w:line="240" w:before="0" w:after="0"/>
              <w:jc w:val="left"/>
              <w:rPr>
                <w:rFonts w:ascii="Arial" w:hAnsi="Arial" w:eastAsia="Arial" w:cs="Arial"/>
                <w:b/>
                <w:bCs/>
                <w:i w:val="false"/>
                <w:i w:val="false"/>
                <w:iCs w:val="false"/>
                <w:color w:val="C00000"/>
                <w:sz w:val="17"/>
                <w:szCs w:val="17"/>
              </w:rPr>
            </w:pPr>
            <w:r>
              <w:rPr>
                <w:rFonts w:eastAsia="Arial" w:cs="Arial"/>
                <w:b/>
                <w:bCs/>
                <w:i w:val="false"/>
                <w:iCs w:val="false"/>
                <w:color w:val="C00000"/>
                <w:sz w:val="17"/>
                <w:szCs w:val="17"/>
              </w:rPr>
              <w:t>73.39.242.35</w:t>
            </w:r>
          </w:p>
        </w:tc>
        <w:tc>
          <w:tcPr>
            <w:tcW w:w="2801" w:type="dxa"/>
            <w:tcBorders>
              <w:top w:val="single" w:sz="4" w:space="0" w:color="AAAAAA"/>
              <w:left w:val="single" w:sz="4" w:space="0" w:color="AAAAAA"/>
              <w:bottom w:val="single" w:sz="4" w:space="0" w:color="AAAAAA"/>
              <w:right w:val="single" w:sz="4" w:space="0" w:color="AAAAAA"/>
            </w:tcBorders>
            <w:shd w:fill="FCE4E4" w:val="clear"/>
          </w:tcPr>
          <w:p>
            <w:pPr>
              <w:pStyle w:val="Normal"/>
              <w:bidi w:val="0"/>
              <w:spacing w:lineRule="auto" w:line="240" w:before="0" w:after="0"/>
              <w:jc w:val="left"/>
              <w:rPr>
                <w:rFonts w:ascii="Arial" w:hAnsi="Arial" w:eastAsia="Arial" w:cs="Arial"/>
                <w:b w:val="false"/>
                <w:bCs w:val="false"/>
                <w:i w:val="false"/>
                <w:i w:val="false"/>
                <w:iCs w:val="false"/>
                <w:color w:val="1A1A1A"/>
                <w:sz w:val="16"/>
                <w:szCs w:val="16"/>
              </w:rPr>
            </w:pPr>
            <w:r>
              <w:rPr>
                <w:b w:val="0"/>
                <w:i w:val="0"/>
                <w:color w:val="1A1A1A"/>
                <w:sz w:val="16"/>
              </w:rPr>
              <w:t>Dotloop signature records dated March 10, April 5, 15, 19, 20, 22, 28, and May 4</w:t>
            </w:r>
          </w:p>
        </w:tc>
        <w:tc>
          <w:tcPr>
            <w:tcW w:w="416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b w:val="0"/>
                <w:i w:val="0"/>
                <w:color w:val="1A1A1A"/>
                <w:sz w:val="17"/>
              </w:rPr>
              <w:t>Does not appear in Shannon's available Proton account-event export during the identified period. The current record does not independently establish who used this IP.</w:t>
            </w:r>
          </w:p>
        </w:tc>
      </w:tr>
      <w:tr>
        <w:trPr/>
        <w:tc>
          <w:tcPr>
            <w:tcW w:w="2399" w:type="dxa"/>
            <w:tcBorders>
              <w:top w:val="single" w:sz="4" w:space="0" w:color="AAAAAA"/>
              <w:left w:val="single" w:sz="4" w:space="0" w:color="AAAAAA"/>
              <w:bottom w:val="single" w:sz="4" w:space="0" w:color="AAAAAA"/>
              <w:right w:val="single" w:sz="4" w:space="0" w:color="AAAAAA"/>
            </w:tcBorders>
            <w:shd w:fill="FCE4E4" w:val="clear"/>
          </w:tcPr>
          <w:p>
            <w:pPr>
              <w:pStyle w:val="Normal"/>
              <w:bidi w:val="0"/>
              <w:spacing w:lineRule="auto" w:line="240" w:before="0" w:after="0"/>
              <w:jc w:val="left"/>
              <w:rPr>
                <w:rFonts w:ascii="Arial" w:hAnsi="Arial" w:eastAsia="Arial" w:cs="Arial"/>
                <w:b/>
                <w:bCs/>
                <w:i w:val="false"/>
                <w:i w:val="false"/>
                <w:iCs w:val="false"/>
                <w:color w:val="C00000"/>
                <w:sz w:val="17"/>
                <w:szCs w:val="17"/>
              </w:rPr>
            </w:pPr>
            <w:r>
              <w:rPr>
                <w:rFonts w:eastAsia="Arial" w:cs="Arial"/>
                <w:b/>
                <w:bCs/>
                <w:i w:val="false"/>
                <w:iCs w:val="false"/>
                <w:color w:val="C00000"/>
                <w:sz w:val="17"/>
                <w:szCs w:val="17"/>
              </w:rPr>
              <w:t>12.186.205.197</w:t>
            </w:r>
          </w:p>
        </w:tc>
        <w:tc>
          <w:tcPr>
            <w:tcW w:w="2801" w:type="dxa"/>
            <w:tcBorders>
              <w:top w:val="single" w:sz="4" w:space="0" w:color="AAAAAA"/>
              <w:left w:val="single" w:sz="4" w:space="0" w:color="AAAAAA"/>
              <w:bottom w:val="single" w:sz="4" w:space="0" w:color="AAAAAA"/>
              <w:right w:val="single" w:sz="4" w:space="0" w:color="AAAAAA"/>
            </w:tcBorders>
            <w:shd w:fill="FCE4E4" w:val="clear"/>
          </w:tcPr>
          <w:p>
            <w:pPr>
              <w:pStyle w:val="Normal"/>
              <w:bidi w:val="0"/>
              <w:spacing w:lineRule="auto" w:line="240" w:before="0" w:after="0"/>
              <w:jc w:val="left"/>
              <w:rPr>
                <w:rFonts w:ascii="Arial" w:hAnsi="Arial" w:eastAsia="Arial" w:cs="Arial"/>
                <w:b w:val="false"/>
                <w:bCs w:val="false"/>
                <w:i w:val="false"/>
                <w:i w:val="false"/>
                <w:iCs w:val="false"/>
                <w:color w:val="1A1A1A"/>
                <w:sz w:val="16"/>
                <w:szCs w:val="16"/>
              </w:rPr>
            </w:pPr>
            <w:r>
              <w:rPr>
                <w:rFonts w:eastAsia="Arial" w:cs="Arial"/>
                <w:b w:val="false"/>
                <w:bCs w:val="false"/>
                <w:i w:val="false"/>
                <w:iCs w:val="false"/>
                <w:color w:val="1A1A1A"/>
                <w:sz w:val="16"/>
                <w:szCs w:val="16"/>
              </w:rPr>
              <w:t>Dotloop gift letter — May 4, 2022, 6:32 PM</w:t>
            </w:r>
          </w:p>
        </w:tc>
        <w:tc>
          <w:tcPr>
            <w:tcW w:w="4160" w:type="dxa"/>
            <w:tcBorders>
              <w:top w:val="single" w:sz="4" w:space="0" w:color="AAAAAA"/>
              <w:left w:val="single" w:sz="4" w:space="0" w:color="AAAAAA"/>
              <w:bottom w:val="single" w:sz="4" w:space="0" w:color="AAAAAA"/>
              <w:right w:val="single" w:sz="4" w:space="0" w:color="AAAAAA"/>
            </w:tcBorders>
            <w:shd w:fill="FFFFFF" w:val="clear"/>
          </w:tcPr>
          <w:p>
            <w:pPr>
              <w:pStyle w:val="Normal"/>
              <w:bidi w:val="0"/>
              <w:spacing w:lineRule="auto" w:line="240" w:before="0" w:after="0"/>
              <w:jc w:val="left"/>
              <w:rPr>
                <w:rFonts w:ascii="Arial" w:hAnsi="Arial" w:eastAsia="Arial" w:cs="Arial"/>
                <w:b w:val="false"/>
                <w:bCs w:val="false"/>
                <w:i w:val="false"/>
                <w:i w:val="false"/>
                <w:iCs w:val="false"/>
                <w:color w:val="1A1A1A"/>
                <w:sz w:val="17"/>
                <w:szCs w:val="17"/>
              </w:rPr>
            </w:pPr>
            <w:r>
              <w:rPr>
                <w:b w:val="0"/>
                <w:i w:val="0"/>
                <w:color w:val="1A1A1A"/>
                <w:sz w:val="17"/>
              </w:rPr>
              <w:t>Does not appear in Shannon's available Proton account-event export. Signer and device attribution require native platform records.</w:t>
            </w:r>
          </w:p>
        </w:tc>
      </w:tr>
    </w:tbl>
    <w:p>
      <w:pPr>
        <w:pStyle w:val="Normal"/>
        <w:bidi w:val="0"/>
        <w:spacing w:lineRule="auto" w:line="240" w:before="0" w:after="0"/>
        <w:jc w:val="left"/>
        <w:rPr/>
      </w:pPr>
      <w:r>
        <w:rPr/>
      </w:r>
    </w:p>
    <w:p>
      <w:pPr>
        <w:pStyle w:val="Normal"/>
        <w:bidi w:val="0"/>
        <w:spacing w:lineRule="auto" w:line="240" w:before="0" w:after="80"/>
        <w:jc w:val="left"/>
        <w:rPr/>
      </w:pPr>
      <w:r>
        <w:rPr/>
      </w:r>
    </w:p>
    <w:p>
      <w:pPr>
        <w:pStyle w:val="Heading2"/>
        <w:spacing w:lineRule="auto" w:line="240" w:before="240" w:after="100"/>
        <w:rPr>
          <w:rFonts w:ascii="Arial" w:hAnsi="Arial" w:eastAsia="Arial" w:cs="Arial"/>
          <w:b/>
          <w:bCs/>
          <w:color w:val="1F3864"/>
          <w:sz w:val="26"/>
          <w:szCs w:val="26"/>
        </w:rPr>
      </w:pPr>
      <w:r>
        <w:rPr>
          <w:rFonts w:eastAsia="Arial" w:cs="Arial"/>
          <w:b/>
          <w:bCs/>
          <w:color w:val="1F3864"/>
          <w:sz w:val="26"/>
          <w:szCs w:val="26"/>
        </w:rPr>
        <w:t>Conclusion</w:t>
      </w:r>
    </w:p>
    <w:p>
      <w:pPr>
        <w:pStyle w:val="Normal"/>
        <w:bidi w:val="0"/>
        <w:spacing w:lineRule="auto" w:line="240" w:before="0" w:after="80"/>
        <w:jc w:val="left"/>
        <w:rPr>
          <w:color w:val="1A1A1A"/>
        </w:rPr>
      </w:pPr>
      <w:r>
        <w:rPr>
          <w:color w:val="1A1A1A"/>
        </w:rPr>
        <w:t>The available Proton export does not associate Shannon's recorded account activity with several IP addresses appearing in the disputed signing records. This supports further examination of native Dotloop audit data, email routing, account records, device information, and platform logs. Attribution of a signature to a particular person requires additional evidence.</w:t>
      </w:r>
    </w:p>
    <w:p>
      <w:pPr>
        <w:pStyle w:val="Normal"/>
        <w:bidi w:val="0"/>
        <w:spacing w:lineRule="auto" w:line="240" w:before="0" w:after="0"/>
        <w:jc w:val="left"/>
        <w:rPr>
          <w:rFonts w:ascii="Arial" w:hAnsi="Arial" w:eastAsia="Arial" w:cs="Arial"/>
          <w:b w:val="false"/>
          <w:bCs w:val="false"/>
          <w:i/>
          <w:i/>
          <w:iCs/>
          <w:color w:val="595959"/>
          <w:sz w:val="17"/>
          <w:szCs w:val="17"/>
        </w:rPr>
      </w:pPr>
      <w:r>
        <w:rPr>
          <w:rFonts w:eastAsia="Arial" w:cs="Arial"/>
          <w:b w:val="false"/>
          <w:bCs w:val="false"/>
          <w:i/>
          <w:iCs/>
          <w:color w:val="595959"/>
          <w:sz w:val="17"/>
          <w:szCs w:val="17"/>
        </w:rPr>
        <w:t>The complete CSV log (file: 'events') is available for forensic analysis and will corroborate all of the above upon review.</w:t>
      </w:r>
    </w:p>
    <w:p>
      <w:pPr>
        <w:pStyle w:val="Normal"/>
        <w:bidi w:val="0"/>
        <w:jc w:val="left"/>
        <w:rPr/>
      </w:pPr>
      <w:r>
        <w:rPr/>
      </w:r>
      <w:r>
        <w:br w:type="page"/>
      </w:r>
    </w:p>
    <w:p>
      <w:pPr>
        <w:pStyle w:val="Heading1"/>
        <w:pBdr>
          <w:bottom w:val="single" w:sz="12" w:space="4" w:color="1F3864"/>
        </w:pBdr>
        <w:spacing w:lineRule="auto" w:line="240" w:before="400" w:after="160"/>
        <w:rPr>
          <w:rFonts w:ascii="Arial" w:hAnsi="Arial" w:eastAsia="Arial" w:cs="Arial"/>
          <w:b/>
          <w:bCs/>
          <w:color w:val="1F3864"/>
          <w:sz w:val="36"/>
          <w:szCs w:val="36"/>
        </w:rPr>
      </w:pPr>
      <w:r>
        <w:rPr>
          <w:rFonts w:eastAsia="Arial" w:cs="Arial"/>
          <w:b/>
          <w:bCs/>
          <w:color w:val="1F3864"/>
          <w:sz w:val="36"/>
          <w:szCs w:val="36"/>
        </w:rPr>
        <w:t>NOTE REGARDING PHYSICAL DOCUMENTS</w:t>
      </w:r>
    </w:p>
    <w:p>
      <w:pPr>
        <w:pStyle w:val="Normal"/>
        <w:bidi w:val="0"/>
        <w:spacing w:lineRule="auto" w:line="240" w:before="0" w:after="80"/>
        <w:jc w:val="left"/>
        <w:rPr>
          <w:rFonts w:ascii="Arial" w:hAnsi="Arial" w:eastAsia="Arial" w:cs="Arial"/>
          <w:b w:val="false"/>
          <w:bCs w:val="false"/>
          <w:i w:val="false"/>
          <w:i w:val="false"/>
          <w:iCs w:val="false"/>
          <w:color w:val="1A1A1A"/>
          <w:sz w:val="20"/>
          <w:szCs w:val="20"/>
        </w:rPr>
      </w:pPr>
      <w:r>
        <w:rPr>
          <w:rFonts w:eastAsia="Arial" w:cs="Arial"/>
          <w:b w:val="false"/>
          <w:bCs w:val="false"/>
          <w:i w:val="false"/>
          <w:iCs w:val="false"/>
          <w:color w:val="1A1A1A"/>
          <w:sz w:val="20"/>
          <w:szCs w:val="20"/>
        </w:rPr>
        <w:t>Shannon Truitt has indicated that physical documents related to the forbearance — including the actual forbearance grant letter from Mr. Cooper — may be located at the Konkiel residence at 204 Truitt Ave, Milford, Delaware. These will be retrieved and submitted as Supplemental EX-A(2) upon location.</w:t>
      </w:r>
    </w:p>
    <w:p>
      <w:pPr>
        <w:pStyle w:val="Normal"/>
        <w:bidi w:val="0"/>
        <w:spacing w:lineRule="auto" w:line="240" w:before="0" w:after="60"/>
        <w:jc w:val="left"/>
        <w:rPr>
          <w:rFonts w:ascii="Arial" w:hAnsi="Arial" w:eastAsia="Arial" w:cs="Arial"/>
          <w:b w:val="false"/>
          <w:bCs w:val="false"/>
          <w:i w:val="false"/>
          <w:i w:val="false"/>
          <w:iCs w:val="false"/>
          <w:color w:val="1A1A1A"/>
          <w:sz w:val="20"/>
          <w:szCs w:val="20"/>
        </w:rPr>
      </w:pPr>
      <w:r>
        <w:rPr>
          <w:rFonts w:eastAsia="Arial" w:cs="Arial"/>
          <w:b w:val="false"/>
          <w:bCs w:val="false"/>
          <w:i w:val="false"/>
          <w:iCs w:val="false"/>
          <w:color w:val="1A1A1A"/>
          <w:sz w:val="20"/>
          <w:szCs w:val="20"/>
        </w:rPr>
        <w:t>Additional supplemental exhibits may include:</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The complete car title loan agreement (13-page PDF, July 15, 2022)</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The complete Lender Closing Package (100 pages)</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The for-theresa-duncan annotated email compilation (targeted specifically at Theresa Duncan's awareness of the fraud)</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Dotloop complete audit trail for the loop 'Rouena Konkiel' (available via subpoena from Loop &amp; Tie, Inc.)</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Alfonso Anderson Xfinity bill (4 pages) — confirming property was occupied, not vacant as certified by appraiser</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City of Milford Downtown Development District application by WaveCrest (3 pages) - compare claimed work with permits, invoices, photographs, and inspection records</w:t>
      </w:r>
    </w:p>
    <w:p>
      <w:pPr>
        <w:pStyle w:val="Normal"/>
        <w:bidi w:val="0"/>
        <w:spacing w:lineRule="auto" w:line="240" w:before="0" w:after="0"/>
        <w:jc w:val="left"/>
        <w:rPr/>
      </w:pPr>
      <w:r>
        <w:rPr/>
      </w:r>
    </w:p>
    <w:p>
      <w:pPr>
        <w:pStyle w:val="Normal"/>
        <w:bidi w:val="0"/>
        <w:spacing w:lineRule="auto" w:line="240" w:before="0" w:after="0"/>
        <w:jc w:val="left"/>
        <w:rPr/>
      </w:pPr>
      <w:r>
        <w:rPr/>
      </w:r>
    </w:p>
    <w:p>
      <w:pPr>
        <w:pStyle w:val="Normal"/>
        <w:pBdr>
          <w:bottom w:val="single" w:sz="8" w:space="4" w:color="1F3864"/>
        </w:pBdr>
        <w:bidi w:val="0"/>
        <w:spacing w:lineRule="auto" w:line="240" w:before="0" w:after="200"/>
        <w:jc w:val="left"/>
        <w:rPr/>
      </w:pPr>
      <w:r>
        <w:rPr/>
      </w:r>
    </w:p>
    <w:p>
      <w:pPr>
        <w:pStyle w:val="Normal"/>
        <w:bidi w:val="0"/>
        <w:spacing w:lineRule="auto" w:line="240" w:before="0" w:after="0"/>
        <w:jc w:val="left"/>
        <w:rPr>
          <w:rFonts w:ascii="Arial" w:hAnsi="Arial" w:eastAsia="Arial" w:cs="Arial"/>
          <w:b w:val="false"/>
          <w:bCs w:val="false"/>
          <w:i/>
          <w:i/>
          <w:iCs/>
          <w:color w:val="595959"/>
          <w:sz w:val="16"/>
          <w:szCs w:val="16"/>
        </w:rPr>
      </w:pPr>
      <w:r>
        <w:rPr>
          <w:rFonts w:eastAsia="Arial" w:cs="Arial"/>
          <w:b w:val="false"/>
          <w:bCs w:val="false"/>
          <w:i/>
          <w:iCs/>
          <w:color w:val="595959"/>
          <w:sz w:val="16"/>
          <w:szCs w:val="16"/>
        </w:rPr>
        <w:t>All documentation is maintained in original digital and physical form. Permission to reproduce and reference all documents granted by Rouena M. Konkiel.</w:t>
      </w:r>
    </w:p>
    <w:sectPr>
      <w:headerReference w:type="default" r:id="rId2"/>
      <w:footerReference w:type="default" r:id="rId3"/>
      <w:type w:val="nextPage"/>
      <w:pgSz w:w="12240" w:h="15840"/>
      <w:pgMar w:left="1008" w:right="1008" w:gutter="0" w:header="708" w:top="1008" w:footer="708" w:bottom="1008"/>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rial">
    <w:charset w:val="00"/>
    <w:family w:val="roman"/>
    <w:pitch w:val="variable"/>
  </w:font>
  <w:font w:name="Liberation Sans">
    <w:altName w:val="Arial"/>
    <w:charset w:val="00"/>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Georgia">
    <w:charset w:val="00"/>
    <w:family w:val="roman"/>
    <w:pitch w:val="variable"/>
  </w:font>
  <w:font w:name="Symbol">
    <w:charset w:val="02"/>
    <w:family w:val="auto"/>
    <w:pitch w:val="default"/>
  </w:font>
  <w:font w:name="OpenSymbol">
    <w:altName w:val="Arial Unicode MS"/>
    <w:charset w:val="02"/>
    <w:family w:val="auto"/>
    <w:pitch w:val="default"/>
    <w:embedRegular r:id="rId9" w:fontKey="{09014A78-CABC-4EF0-12AC-5CD89AEFDE09}"/>
    <w:embedBold r:id="rId10" w:fontKey="{0A014A78-CABC-4EF0-12AC-5CD89AEFDE0A}"/>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4" w:color="1F3864"/>
      </w:pBdr>
      <w:tabs>
        <w:tab w:val="clear" w:pos="720"/>
        <w:tab w:val="right" w:pos="9360" w:leader="none"/>
      </w:tabs>
      <w:bidi w:val="0"/>
      <w:spacing w:lineRule="auto" w:line="240" w:before="120" w:after="0"/>
      <w:jc w:val="left"/>
      <w:rPr/>
    </w:pPr>
    <w:r>
      <w:rPr>
        <w:color w:val="595959"/>
        <w:sz w:val="16"/>
      </w:rPr>
      <w:t>Submitted by Shannon L. Truitt on behalf of Rouena M. Konkiel  |  July 2026</w:t>
      <w:tab/>
      <w:t>Page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6" w:space="4" w:color="1F3864"/>
      </w:pBdr>
      <w:tabs>
        <w:tab w:val="clear" w:pos="720"/>
        <w:tab w:val="right" w:pos="9360" w:leader="none"/>
      </w:tabs>
      <w:bidi w:val="0"/>
      <w:spacing w:lineRule="auto" w:line="240" w:before="0" w:after="120"/>
      <w:jc w:val="left"/>
      <w:rPr/>
    </w:pPr>
    <w:r>
      <w:rPr>
        <w:color w:val="1F3864"/>
        <w:sz w:val="16"/>
      </w:rPr>
      <w:t>ROUENA M. KONKIEL  |  LOAN #4752202195126  |  SUPPLEMENTAL EXHIBITS</w:t>
      <w:tab/>
      <w:t>CONFIDENTIAL - EVIDENCE SUMMARY</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0"/>
        </w:tabs>
        <w:ind w:left="540" w:hanging="260"/>
      </w:pPr>
      <w:rPr>
        <w:rFonts w:ascii="Symbol" w:hAnsi="Symbol" w:cs="Symbol" w:hint="default"/>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Arial" w:hAnsi="Arial" w:eastAsia="Arial" w:cs="Arial"/>
      <w:color w:val="auto"/>
      <w:kern w:val="0"/>
      <w:sz w:val="20"/>
      <w:szCs w:val="20"/>
      <w:lang w:val="en-US" w:eastAsia="zh-CN" w:bidi="hi-IN"/>
    </w:rPr>
  </w:style>
  <w:style w:type="paragraph" w:styleId="Heading1">
    <w:name w:val="heading 1"/>
    <w:basedOn w:val="normal1"/>
    <w:next w:val="Normal"/>
    <w:qFormat/>
    <w:pPr>
      <w:keepNext w:val="false"/>
      <w:keepLines w:val="false"/>
      <w:pageBreakBefore w:val="false"/>
      <w:widowControl/>
      <w:pBdr/>
      <w:spacing w:lineRule="auto" w:line="240" w:before="400" w:after="160"/>
      <w:ind w:hanging="0" w:left="0" w:right="0"/>
      <w:jc w:val="left"/>
    </w:pPr>
    <w:rPr>
      <w:rFonts w:ascii="Arial" w:hAnsi="Arial" w:eastAsia="Arial" w:cs="Arial"/>
      <w:b/>
      <w:bCs/>
      <w:i w:val="false"/>
      <w:iCs w:val="false"/>
      <w:caps w:val="false"/>
      <w:smallCaps w:val="false"/>
      <w:strike w:val="false"/>
      <w:dstrike w:val="false"/>
      <w:color w:val="1F3864"/>
      <w:position w:val="0"/>
      <w:sz w:val="36"/>
      <w:sz w:val="36"/>
      <w:szCs w:val="36"/>
      <w:u w:val="none"/>
      <w:vertAlign w:val="baseline"/>
    </w:rPr>
  </w:style>
  <w:style w:type="paragraph" w:styleId="Heading2">
    <w:name w:val="heading 2"/>
    <w:basedOn w:val="normal1"/>
    <w:next w:val="Normal"/>
    <w:qFormat/>
    <w:pPr>
      <w:keepNext w:val="false"/>
      <w:keepLines w:val="false"/>
      <w:pageBreakBefore w:val="false"/>
      <w:widowControl/>
      <w:pBdr/>
      <w:spacing w:lineRule="auto" w:line="240" w:before="240" w:after="100"/>
      <w:ind w:hanging="0" w:left="0" w:right="0"/>
      <w:jc w:val="left"/>
    </w:pPr>
    <w:rPr>
      <w:rFonts w:ascii="Arial" w:hAnsi="Arial" w:eastAsia="Arial" w:cs="Arial"/>
      <w:b/>
      <w:bCs/>
      <w:i w:val="false"/>
      <w:iCs w:val="false"/>
      <w:caps w:val="false"/>
      <w:smallCaps w:val="false"/>
      <w:strike w:val="false"/>
      <w:dstrike w:val="false"/>
      <w:color w:val="1F3864"/>
      <w:position w:val="0"/>
      <w:sz w:val="26"/>
      <w:sz w:val="26"/>
      <w:szCs w:val="26"/>
      <w:u w:val="none"/>
      <w:vertAlign w:val="baseline"/>
    </w:rPr>
  </w:style>
  <w:style w:type="paragraph" w:styleId="Heading3">
    <w:name w:val="heading 3"/>
    <w:basedOn w:val="normal1"/>
    <w:next w:val="Normal"/>
    <w:qFormat/>
    <w:pPr>
      <w:keepNext w:val="false"/>
      <w:keepLines w:val="false"/>
      <w:pageBreakBefore w:val="false"/>
      <w:widowControl/>
      <w:pBdr/>
      <w:spacing w:lineRule="auto" w:line="240" w:before="0" w:after="0"/>
      <w:ind w:hanging="0" w:left="0" w:right="0"/>
      <w:jc w:val="left"/>
    </w:pPr>
    <w:rPr>
      <w:rFonts w:ascii="Arial" w:hAnsi="Arial" w:eastAsia="Arial" w:cs="Arial"/>
      <w:b w:val="false"/>
      <w:bCs w:val="false"/>
      <w:i w:val="false"/>
      <w:iCs w:val="false"/>
      <w:caps w:val="false"/>
      <w:smallCaps w:val="false"/>
      <w:strike w:val="false"/>
      <w:dstrike w:val="false"/>
      <w:color w:val="1F4D78"/>
      <w:position w:val="0"/>
      <w:sz w:val="24"/>
      <w:sz w:val="24"/>
      <w:szCs w:val="24"/>
      <w:u w:val="none"/>
      <w:vertAlign w:val="baseline"/>
    </w:rPr>
  </w:style>
  <w:style w:type="paragraph" w:styleId="Heading4">
    <w:name w:val="heading 4"/>
    <w:basedOn w:val="normal1"/>
    <w:next w:val="Normal"/>
    <w:qFormat/>
    <w:pPr>
      <w:keepNext w:val="false"/>
      <w:keepLines w:val="false"/>
      <w:pageBreakBefore w:val="false"/>
      <w:widowControl/>
      <w:pBdr/>
      <w:spacing w:lineRule="auto" w:line="240" w:before="0" w:after="0"/>
      <w:ind w:hanging="0" w:left="0" w:right="0"/>
      <w:jc w:val="left"/>
    </w:pPr>
    <w:rPr>
      <w:rFonts w:ascii="Arial" w:hAnsi="Arial" w:eastAsia="Arial" w:cs="Arial"/>
      <w:b w:val="false"/>
      <w:bCs w:val="false"/>
      <w:i/>
      <w:iCs/>
      <w:caps w:val="false"/>
      <w:smallCaps w:val="false"/>
      <w:strike w:val="false"/>
      <w:dstrike w:val="false"/>
      <w:color w:val="2E74B5"/>
      <w:position w:val="0"/>
      <w:sz w:val="20"/>
      <w:sz w:val="20"/>
      <w:szCs w:val="20"/>
      <w:u w:val="none"/>
      <w:vertAlign w:val="baseline"/>
    </w:rPr>
  </w:style>
  <w:style w:type="paragraph" w:styleId="Heading5">
    <w:name w:val="heading 5"/>
    <w:basedOn w:val="normal1"/>
    <w:next w:val="Normal"/>
    <w:qFormat/>
    <w:pPr>
      <w:keepNext w:val="false"/>
      <w:keepLines w:val="false"/>
      <w:pageBreakBefore w:val="false"/>
      <w:widowControl/>
      <w:pBdr/>
      <w:spacing w:lineRule="auto" w:line="240" w:before="0" w:after="0"/>
      <w:ind w:hanging="0" w:left="0" w:right="0"/>
      <w:jc w:val="left"/>
    </w:pPr>
    <w:rPr>
      <w:rFonts w:ascii="Arial" w:hAnsi="Arial" w:eastAsia="Arial" w:cs="Arial"/>
      <w:b w:val="false"/>
      <w:bCs w:val="false"/>
      <w:i w:val="false"/>
      <w:iCs w:val="false"/>
      <w:caps w:val="false"/>
      <w:smallCaps w:val="false"/>
      <w:strike w:val="false"/>
      <w:dstrike w:val="false"/>
      <w:color w:val="2E74B5"/>
      <w:position w:val="0"/>
      <w:sz w:val="20"/>
      <w:sz w:val="20"/>
      <w:szCs w:val="20"/>
      <w:u w:val="none"/>
      <w:vertAlign w:val="baseline"/>
    </w:rPr>
  </w:style>
  <w:style w:type="paragraph" w:styleId="Heading6">
    <w:name w:val="heading 6"/>
    <w:basedOn w:val="normal1"/>
    <w:next w:val="Normal"/>
    <w:qFormat/>
    <w:pPr>
      <w:keepNext w:val="false"/>
      <w:keepLines w:val="false"/>
      <w:pageBreakBefore w:val="false"/>
      <w:widowControl/>
      <w:pBdr/>
      <w:spacing w:lineRule="auto" w:line="240" w:before="0" w:after="0"/>
      <w:ind w:hanging="0" w:left="0" w:right="0"/>
      <w:jc w:val="left"/>
    </w:pPr>
    <w:rPr>
      <w:rFonts w:ascii="Arial" w:hAnsi="Arial" w:eastAsia="Arial" w:cs="Arial"/>
      <w:b w:val="false"/>
      <w:bCs w:val="false"/>
      <w:i w:val="false"/>
      <w:iCs w:val="false"/>
      <w:caps w:val="false"/>
      <w:smallCaps w:val="false"/>
      <w:strike w:val="false"/>
      <w:dstrike w:val="false"/>
      <w:color w:val="1F4D78"/>
      <w:position w:val="0"/>
      <w:sz w:val="20"/>
      <w:sz w:val="20"/>
      <w:szCs w:val="20"/>
      <w:u w:val="none"/>
      <w:vertAlign w:val="baseline"/>
    </w:rPr>
  </w:style>
  <w:style w:type="paragraph" w:styleId="Heading">
    <w:name w:val="Heading"/>
    <w:basedOn w:val="Normal"/>
    <w:next w:val="BodyText"/>
    <w:qFormat/>
    <w:pPr>
      <w:keepNext w:val="true"/>
      <w:spacing w:before="240" w:after="120"/>
    </w:pPr>
    <w:rPr>
      <w:rFonts w:ascii="Liberation Sans" w:hAnsi="Liberation Sans" w:eastAsia="Linux Libertine G" w:cs="Linux Libertine G"/>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normal1">
    <w:name w:val="normal1"/>
    <w:qFormat/>
    <w:pPr>
      <w:widowControl/>
      <w:kinsoku w:val="true"/>
      <w:overflowPunct w:val="true"/>
      <w:autoSpaceDE w:val="true"/>
      <w:bidi w:val="0"/>
      <w:jc w:val="left"/>
    </w:pPr>
    <w:rPr>
      <w:rFonts w:ascii="Arial" w:hAnsi="Arial" w:eastAsia="Arial" w:cs="Arial"/>
      <w:color w:val="auto"/>
      <w:kern w:val="0"/>
      <w:sz w:val="20"/>
      <w:szCs w:val="20"/>
      <w:lang w:val="en-US" w:eastAsia="zh-CN" w:bidi="hi-IN"/>
    </w:rPr>
  </w:style>
  <w:style w:type="paragraph" w:styleId="Title">
    <w:name w:val="Title"/>
    <w:basedOn w:val="normal1"/>
    <w:next w:val="Normal"/>
    <w:qFormat/>
    <w:pPr>
      <w:keepNext w:val="false"/>
      <w:keepLines w:val="false"/>
      <w:pageBreakBefore w:val="false"/>
      <w:widowControl/>
      <w:pBdr/>
      <w:spacing w:lineRule="auto" w:line="240" w:before="0" w:after="0"/>
      <w:ind w:hanging="0" w:left="0" w:right="0"/>
      <w:jc w:val="left"/>
    </w:pPr>
    <w:rPr>
      <w:rFonts w:ascii="Arial" w:hAnsi="Arial" w:eastAsia="Arial" w:cs="Arial"/>
      <w:b w:val="false"/>
      <w:bCs w:val="false"/>
      <w:i w:val="false"/>
      <w:iCs w:val="false"/>
      <w:caps w:val="false"/>
      <w:smallCaps w:val="false"/>
      <w:strike w:val="false"/>
      <w:dstrike w:val="false"/>
      <w:color w:val="000000"/>
      <w:position w:val="0"/>
      <w:sz w:val="56"/>
      <w:sz w:val="56"/>
      <w:szCs w:val="56"/>
      <w:u w:val="none"/>
      <w:vertAlign w:val="baseline"/>
    </w:rPr>
  </w:style>
  <w:style w:type="paragraph" w:styleId="Subtitle">
    <w:name w:val="Subtitle"/>
    <w:basedOn w:val="normal1"/>
    <w:next w:val="Normal"/>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TableContents">
    <w:name w:val="Table Contents"/>
    <w:basedOn w:val="Normal"/>
    <w:qFormat/>
    <w:pPr>
      <w:widowControl w:val="false"/>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LibreOffice/25.2.3.2$Linux_X86_64 LibreOffice_project/520$Build-2</Application>
  <AppVersion>15.0000</AppVersion>
  <Pages>4</Pages>
  <Words>1467</Words>
  <Characters>8321</Characters>
  <CharactersWithSpaces>9685</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